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ind w:left="0" w:firstLine="0" w:firstLineChars="0"/>
      </w:pPr>
    </w:p>
    <w:p>
      <w:pPr>
        <w:adjustRightInd w:val="0"/>
        <w:snapToGrid w:val="0"/>
        <w:ind w:firstLine="0" w:firstLineChars="0"/>
        <w:jc w:val="center"/>
        <w:rPr>
          <w:b/>
          <w:sz w:val="44"/>
          <w:szCs w:val="44"/>
        </w:rPr>
      </w:pPr>
    </w:p>
    <w:p>
      <w:pPr>
        <w:adjustRightInd w:val="0"/>
        <w:snapToGrid w:val="0"/>
        <w:ind w:firstLine="0" w:firstLineChars="0"/>
        <w:jc w:val="center"/>
        <w:rPr>
          <w:b/>
          <w:sz w:val="44"/>
          <w:szCs w:val="44"/>
        </w:rPr>
      </w:pPr>
    </w:p>
    <w:p>
      <w:pPr>
        <w:adjustRightInd w:val="0"/>
        <w:snapToGrid w:val="0"/>
        <w:ind w:firstLine="0" w:firstLineChars="0"/>
        <w:jc w:val="center"/>
        <w:rPr>
          <w:rFonts w:eastAsia="宋体"/>
          <w:b/>
          <w:sz w:val="44"/>
          <w:szCs w:val="44"/>
          <w:lang w:val="zh-CN"/>
        </w:rPr>
      </w:pPr>
      <w:r>
        <w:rPr>
          <w:rFonts w:hint="eastAsia" w:eastAsia="宋体"/>
          <w:b/>
          <w:sz w:val="44"/>
          <w:szCs w:val="44"/>
          <w:lang w:val="zh-CN"/>
        </w:rPr>
        <w:t>楚天都市沁园建设项目</w:t>
      </w:r>
    </w:p>
    <w:p>
      <w:pPr>
        <w:adjustRightInd w:val="0"/>
        <w:snapToGrid w:val="0"/>
        <w:ind w:firstLine="0" w:firstLineChars="0"/>
        <w:jc w:val="center"/>
        <w:rPr>
          <w:rFonts w:eastAsia="宋体"/>
          <w:b/>
          <w:sz w:val="44"/>
          <w:szCs w:val="44"/>
        </w:rPr>
      </w:pPr>
    </w:p>
    <w:p>
      <w:pPr>
        <w:adjustRightInd w:val="0"/>
        <w:snapToGrid w:val="0"/>
        <w:ind w:firstLine="0" w:firstLineChars="0"/>
        <w:jc w:val="center"/>
        <w:rPr>
          <w:sz w:val="72"/>
          <w:szCs w:val="72"/>
        </w:rPr>
      </w:pPr>
      <w:r>
        <w:rPr>
          <w:rFonts w:eastAsia="黑体"/>
          <w:spacing w:val="-20"/>
          <w:sz w:val="72"/>
          <w:szCs w:val="72"/>
        </w:rPr>
        <w:t>水土保持设施</w:t>
      </w:r>
      <w:r>
        <w:rPr>
          <w:rFonts w:hint="eastAsia" w:eastAsia="黑体"/>
          <w:spacing w:val="-20"/>
          <w:sz w:val="72"/>
          <w:szCs w:val="72"/>
        </w:rPr>
        <w:t>验收</w:t>
      </w:r>
      <w:r>
        <w:rPr>
          <w:rFonts w:eastAsia="黑体"/>
          <w:spacing w:val="-20"/>
          <w:sz w:val="72"/>
          <w:szCs w:val="72"/>
        </w:rPr>
        <w:t>报告</w:t>
      </w:r>
    </w:p>
    <w:p>
      <w:pPr>
        <w:adjustRightInd w:val="0"/>
        <w:snapToGrid w:val="0"/>
        <w:ind w:firstLine="0" w:firstLineChars="0"/>
        <w:jc w:val="center"/>
        <w:rPr>
          <w:sz w:val="52"/>
          <w:szCs w:val="52"/>
        </w:rPr>
      </w:pPr>
    </w:p>
    <w:p>
      <w:pPr>
        <w:adjustRightInd w:val="0"/>
        <w:snapToGrid w:val="0"/>
        <w:ind w:firstLine="0" w:firstLineChars="0"/>
        <w:jc w:val="center"/>
        <w:rPr>
          <w:sz w:val="52"/>
          <w:szCs w:val="52"/>
        </w:rPr>
      </w:pPr>
    </w:p>
    <w:p>
      <w:pPr>
        <w:adjustRightInd w:val="0"/>
        <w:snapToGrid w:val="0"/>
        <w:ind w:firstLine="0" w:firstLineChars="0"/>
        <w:jc w:val="center"/>
        <w:rPr>
          <w:sz w:val="52"/>
          <w:szCs w:val="52"/>
        </w:rPr>
      </w:pPr>
    </w:p>
    <w:p>
      <w:pPr>
        <w:adjustRightInd w:val="0"/>
        <w:snapToGrid w:val="0"/>
        <w:ind w:firstLine="0" w:firstLineChars="0"/>
        <w:jc w:val="center"/>
        <w:rPr>
          <w:sz w:val="52"/>
          <w:szCs w:val="52"/>
        </w:rPr>
      </w:pPr>
    </w:p>
    <w:p>
      <w:pPr>
        <w:adjustRightInd w:val="0"/>
        <w:snapToGrid w:val="0"/>
        <w:ind w:firstLine="0" w:firstLineChars="0"/>
        <w:jc w:val="center"/>
        <w:rPr>
          <w:sz w:val="52"/>
          <w:szCs w:val="52"/>
        </w:rPr>
      </w:pPr>
    </w:p>
    <w:p>
      <w:pPr>
        <w:adjustRightInd w:val="0"/>
        <w:snapToGrid w:val="0"/>
        <w:ind w:firstLine="0" w:firstLineChars="0"/>
        <w:jc w:val="center"/>
        <w:rPr>
          <w:sz w:val="32"/>
          <w:szCs w:val="32"/>
        </w:rPr>
      </w:pPr>
    </w:p>
    <w:p>
      <w:pPr>
        <w:adjustRightInd w:val="0"/>
        <w:snapToGrid w:val="0"/>
        <w:ind w:firstLine="0" w:firstLineChars="0"/>
        <w:rPr>
          <w:rFonts w:eastAsia="仿宋_GB2312"/>
          <w:bCs/>
          <w:sz w:val="32"/>
          <w:szCs w:val="32"/>
        </w:rPr>
      </w:pPr>
      <w:r>
        <w:rPr>
          <w:rFonts w:hint="eastAsia"/>
          <w:bCs/>
          <w:sz w:val="32"/>
          <w:szCs w:val="32"/>
        </w:rPr>
        <w:t xml:space="preserve"> </w:t>
      </w:r>
    </w:p>
    <w:p>
      <w:pPr>
        <w:adjustRightInd w:val="0"/>
        <w:snapToGrid w:val="0"/>
        <w:ind w:firstLine="0" w:firstLineChars="0"/>
        <w:jc w:val="center"/>
        <w:rPr>
          <w:rFonts w:eastAsia="宋体"/>
          <w:bCs/>
          <w:sz w:val="32"/>
          <w:szCs w:val="32"/>
        </w:rPr>
      </w:pPr>
      <w:r>
        <w:rPr>
          <w:rFonts w:hint="eastAsia" w:eastAsia="宋体"/>
          <w:bCs/>
          <w:sz w:val="32"/>
          <w:szCs w:val="32"/>
        </w:rPr>
        <w:t>建设单位：武汉楚天都市置业有限公司</w:t>
      </w:r>
    </w:p>
    <w:p>
      <w:pPr>
        <w:adjustRightInd w:val="0"/>
        <w:snapToGrid w:val="0"/>
        <w:ind w:firstLine="0" w:firstLineChars="0"/>
        <w:jc w:val="center"/>
        <w:rPr>
          <w:rFonts w:eastAsia="宋体"/>
          <w:bCs/>
          <w:sz w:val="32"/>
          <w:szCs w:val="32"/>
        </w:rPr>
      </w:pPr>
      <w:r>
        <w:rPr>
          <w:rFonts w:hint="eastAsia" w:eastAsia="宋体"/>
          <w:bCs/>
          <w:sz w:val="32"/>
          <w:szCs w:val="32"/>
        </w:rPr>
        <w:t>评估</w:t>
      </w:r>
      <w:r>
        <w:rPr>
          <w:rFonts w:hint="eastAsia" w:eastAsia="宋体"/>
          <w:bCs/>
          <w:sz w:val="32"/>
          <w:szCs w:val="32"/>
          <w:lang w:val="zh-CN"/>
        </w:rPr>
        <w:t>单位：武汉卫澜环保科技有限责任公司</w:t>
      </w:r>
    </w:p>
    <w:p>
      <w:pPr>
        <w:adjustRightInd w:val="0"/>
        <w:snapToGrid w:val="0"/>
        <w:ind w:firstLine="0" w:firstLineChars="0"/>
        <w:jc w:val="center"/>
        <w:rPr>
          <w:rFonts w:eastAsia="宋体"/>
        </w:rPr>
      </w:pPr>
      <w:r>
        <w:rPr>
          <w:rFonts w:hint="eastAsia" w:eastAsia="宋体"/>
          <w:bCs/>
          <w:sz w:val="32"/>
          <w:szCs w:val="32"/>
        </w:rPr>
        <w:t>2021年3月</w:t>
      </w:r>
    </w:p>
    <w:p>
      <w:pPr>
        <w:ind w:firstLine="0" w:firstLineChars="0"/>
        <w:rPr>
          <w:b/>
          <w:bCs/>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587" w:right="1587" w:bottom="1587" w:left="1587" w:header="822" w:footer="964" w:gutter="0"/>
          <w:cols w:space="720" w:num="1"/>
          <w:docGrid w:type="lines" w:linePitch="312" w:charSpace="0"/>
        </w:sectPr>
      </w:pPr>
    </w:p>
    <w:p>
      <w:pPr>
        <w:tabs>
          <w:tab w:val="left" w:pos="5040"/>
        </w:tabs>
        <w:ind w:firstLine="0" w:firstLineChars="0"/>
        <w:jc w:val="left"/>
        <w:textAlignment w:val="center"/>
        <w:rPr>
          <w:rFonts w:eastAsia="黑体"/>
          <w:b/>
          <w:sz w:val="32"/>
          <w:szCs w:val="32"/>
        </w:rPr>
      </w:pPr>
      <w:r>
        <w:rPr>
          <w:rFonts w:eastAsia="黑体"/>
          <w:b/>
          <w:sz w:val="32"/>
          <w:szCs w:val="32"/>
        </w:rPr>
        <w:tab/>
      </w:r>
    </w:p>
    <w:tbl>
      <w:tblPr>
        <w:tblStyle w:val="23"/>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382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exact"/>
          <w:jc w:val="center"/>
        </w:trPr>
        <w:tc>
          <w:tcPr>
            <w:tcW w:w="3085"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ascii="Calibri" w:hAnsi="Calibri" w:eastAsia="宋体"/>
                <w:kern w:val="0"/>
                <w:sz w:val="28"/>
                <w:szCs w:val="28"/>
              </w:rPr>
              <w:t>项目名称</w:t>
            </w:r>
          </w:p>
        </w:tc>
        <w:tc>
          <w:tcPr>
            <w:tcW w:w="6095" w:type="dxa"/>
            <w:gridSpan w:val="2"/>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hint="eastAsia" w:ascii="Calibri" w:hAnsi="Calibri" w:eastAsia="宋体"/>
                <w:kern w:val="0"/>
                <w:sz w:val="28"/>
                <w:szCs w:val="28"/>
              </w:rPr>
              <w:t>楚天都市沁园建设项目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5"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ascii="Calibri" w:hAnsi="Calibri" w:eastAsia="宋体"/>
                <w:kern w:val="0"/>
                <w:sz w:val="28"/>
                <w:szCs w:val="28"/>
              </w:rPr>
              <w:t>建设单位</w:t>
            </w:r>
          </w:p>
        </w:tc>
        <w:tc>
          <w:tcPr>
            <w:tcW w:w="6095" w:type="dxa"/>
            <w:gridSpan w:val="2"/>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hint="eastAsia" w:ascii="Calibri" w:hAnsi="Calibri" w:eastAsia="宋体"/>
                <w:kern w:val="0"/>
                <w:sz w:val="28"/>
                <w:szCs w:val="28"/>
              </w:rPr>
              <w:t>武汉楚天都市置业有限公司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5"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hint="eastAsia" w:ascii="Calibri" w:hAnsi="Calibri" w:eastAsia="宋体"/>
                <w:kern w:val="0"/>
                <w:sz w:val="28"/>
                <w:szCs w:val="28"/>
              </w:rPr>
              <w:t>评估</w:t>
            </w:r>
            <w:r>
              <w:rPr>
                <w:rFonts w:ascii="Calibri" w:hAnsi="Calibri" w:eastAsia="宋体"/>
                <w:kern w:val="0"/>
                <w:sz w:val="28"/>
                <w:szCs w:val="28"/>
              </w:rPr>
              <w:t>单位</w:t>
            </w:r>
          </w:p>
        </w:tc>
        <w:tc>
          <w:tcPr>
            <w:tcW w:w="6095" w:type="dxa"/>
            <w:gridSpan w:val="2"/>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hint="eastAsia" w:ascii="Calibri" w:hAnsi="Calibri" w:eastAsia="宋体"/>
                <w:kern w:val="0"/>
                <w:sz w:val="28"/>
                <w:szCs w:val="28"/>
                <w:lang w:val="zh-CN"/>
              </w:rPr>
              <w:t>武汉卫澜环保科技有限责任公司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3085"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hint="eastAsia" w:ascii="Calibri" w:hAnsi="Calibri" w:eastAsia="宋体"/>
                <w:kern w:val="0"/>
                <w:sz w:val="28"/>
                <w:szCs w:val="28"/>
              </w:rPr>
              <w:t>批    准</w:t>
            </w:r>
          </w:p>
        </w:tc>
        <w:tc>
          <w:tcPr>
            <w:tcW w:w="3827" w:type="dxa"/>
            <w:tcBorders>
              <w:tl2br w:val="nil"/>
              <w:tr2bl w:val="nil"/>
            </w:tcBorders>
            <w:vAlign w:val="center"/>
          </w:tcPr>
          <w:p>
            <w:pPr>
              <w:ind w:firstLine="0" w:firstLineChars="0"/>
              <w:jc w:val="center"/>
              <w:rPr>
                <w:rFonts w:ascii="宋体" w:eastAsia="宋体" w:cs="宋体"/>
                <w:sz w:val="28"/>
                <w:szCs w:val="28"/>
              </w:rPr>
            </w:pPr>
            <w:r>
              <w:rPr>
                <w:rFonts w:hint="eastAsia" w:ascii="宋体" w:eastAsia="宋体" w:cs="宋体"/>
                <w:sz w:val="28"/>
                <w:szCs w:val="28"/>
              </w:rPr>
              <w:t>代闯</w:t>
            </w:r>
          </w:p>
        </w:tc>
        <w:tc>
          <w:tcPr>
            <w:tcW w:w="2268"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3085"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hint="eastAsia" w:ascii="Calibri" w:hAnsi="Calibri" w:eastAsia="宋体"/>
                <w:kern w:val="0"/>
                <w:sz w:val="28"/>
                <w:szCs w:val="28"/>
              </w:rPr>
              <w:t>核</w:t>
            </w:r>
            <w:r>
              <w:rPr>
                <w:rFonts w:ascii="Calibri" w:hAnsi="Calibri" w:eastAsia="宋体"/>
                <w:kern w:val="0"/>
                <w:sz w:val="28"/>
                <w:szCs w:val="28"/>
              </w:rPr>
              <w:t xml:space="preserve">    </w:t>
            </w:r>
            <w:r>
              <w:rPr>
                <w:rFonts w:hint="eastAsia" w:ascii="Calibri" w:hAnsi="Calibri" w:eastAsia="宋体"/>
                <w:kern w:val="0"/>
                <w:sz w:val="28"/>
                <w:szCs w:val="28"/>
              </w:rPr>
              <w:t>定</w:t>
            </w:r>
          </w:p>
        </w:tc>
        <w:tc>
          <w:tcPr>
            <w:tcW w:w="3827" w:type="dxa"/>
            <w:tcBorders>
              <w:tl2br w:val="nil"/>
              <w:tr2bl w:val="nil"/>
            </w:tcBorders>
            <w:vAlign w:val="center"/>
          </w:tcPr>
          <w:p>
            <w:pPr>
              <w:ind w:firstLine="0" w:firstLineChars="0"/>
              <w:jc w:val="center"/>
              <w:rPr>
                <w:rFonts w:ascii="宋体" w:eastAsia="宋体" w:cs="宋体"/>
                <w:sz w:val="28"/>
                <w:szCs w:val="28"/>
              </w:rPr>
            </w:pPr>
            <w:r>
              <w:rPr>
                <w:rFonts w:hint="eastAsia" w:ascii="宋体" w:eastAsia="宋体" w:cs="宋体"/>
                <w:sz w:val="28"/>
                <w:szCs w:val="28"/>
              </w:rPr>
              <w:t>代闯</w:t>
            </w:r>
          </w:p>
        </w:tc>
        <w:tc>
          <w:tcPr>
            <w:tcW w:w="2268"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exact"/>
          <w:jc w:val="center"/>
        </w:trPr>
        <w:tc>
          <w:tcPr>
            <w:tcW w:w="3085"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hint="eastAsia" w:ascii="Calibri" w:hAnsi="Calibri" w:eastAsia="宋体"/>
                <w:kern w:val="0"/>
                <w:sz w:val="28"/>
                <w:szCs w:val="28"/>
              </w:rPr>
              <w:t>审    查</w:t>
            </w:r>
          </w:p>
        </w:tc>
        <w:tc>
          <w:tcPr>
            <w:tcW w:w="3827" w:type="dxa"/>
            <w:tcBorders>
              <w:tl2br w:val="nil"/>
              <w:tr2bl w:val="nil"/>
            </w:tcBorders>
            <w:vAlign w:val="center"/>
          </w:tcPr>
          <w:p>
            <w:pPr>
              <w:pStyle w:val="53"/>
              <w:rPr>
                <w:szCs w:val="22"/>
                <w:highlight w:val="yellow"/>
              </w:rPr>
            </w:pPr>
            <w:r>
              <w:rPr>
                <w:rFonts w:hint="eastAsia" w:ascii="宋体" w:eastAsia="宋体" w:cs="宋体"/>
                <w:sz w:val="28"/>
                <w:szCs w:val="28"/>
              </w:rPr>
              <w:t>黄亮</w:t>
            </w:r>
          </w:p>
        </w:tc>
        <w:tc>
          <w:tcPr>
            <w:tcW w:w="2268"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center"/>
        </w:trPr>
        <w:tc>
          <w:tcPr>
            <w:tcW w:w="3085"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ascii="Calibri" w:hAnsi="Calibri" w:eastAsia="宋体"/>
                <w:kern w:val="0"/>
                <w:sz w:val="28"/>
                <w:szCs w:val="28"/>
              </w:rPr>
              <w:t xml:space="preserve">校 </w:t>
            </w:r>
            <w:r>
              <w:rPr>
                <w:rFonts w:hint="eastAsia" w:ascii="Calibri" w:hAnsi="Calibri" w:eastAsia="宋体"/>
                <w:kern w:val="0"/>
                <w:sz w:val="28"/>
                <w:szCs w:val="28"/>
              </w:rPr>
              <w:t xml:space="preserve"> </w:t>
            </w:r>
            <w:r>
              <w:rPr>
                <w:rFonts w:ascii="Calibri" w:hAnsi="Calibri" w:eastAsia="宋体"/>
                <w:kern w:val="0"/>
                <w:sz w:val="28"/>
                <w:szCs w:val="28"/>
              </w:rPr>
              <w:t xml:space="preserve">  核</w:t>
            </w:r>
          </w:p>
        </w:tc>
        <w:tc>
          <w:tcPr>
            <w:tcW w:w="3827" w:type="dxa"/>
            <w:tcBorders>
              <w:tl2br w:val="nil"/>
              <w:tr2bl w:val="nil"/>
            </w:tcBorders>
            <w:vAlign w:val="center"/>
          </w:tcPr>
          <w:p>
            <w:pPr>
              <w:pStyle w:val="53"/>
              <w:rPr>
                <w:szCs w:val="22"/>
                <w:highlight w:val="yellow"/>
              </w:rPr>
            </w:pPr>
            <w:r>
              <w:rPr>
                <w:rFonts w:hint="eastAsia" w:ascii="宋体" w:eastAsia="宋体" w:cs="宋体"/>
                <w:sz w:val="28"/>
                <w:szCs w:val="28"/>
              </w:rPr>
              <w:t>刘杰</w:t>
            </w:r>
          </w:p>
        </w:tc>
        <w:tc>
          <w:tcPr>
            <w:tcW w:w="2268"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center"/>
        </w:trPr>
        <w:tc>
          <w:tcPr>
            <w:tcW w:w="3085" w:type="dxa"/>
            <w:vMerge w:val="restart"/>
            <w:tcBorders>
              <w:tl2br w:val="nil"/>
              <w:tr2bl w:val="nil"/>
            </w:tcBorders>
            <w:vAlign w:val="center"/>
          </w:tcPr>
          <w:p>
            <w:pPr>
              <w:spacing w:line="240" w:lineRule="auto"/>
              <w:ind w:firstLine="0" w:firstLineChars="0"/>
              <w:jc w:val="center"/>
              <w:rPr>
                <w:rFonts w:ascii="Calibri" w:hAnsi="Calibri" w:eastAsia="宋体"/>
                <w:kern w:val="0"/>
                <w:sz w:val="28"/>
                <w:szCs w:val="28"/>
              </w:rPr>
            </w:pPr>
            <w:r>
              <w:rPr>
                <w:rFonts w:ascii="Calibri" w:hAnsi="Calibri" w:eastAsia="宋体"/>
                <w:kern w:val="0"/>
                <w:sz w:val="28"/>
                <w:szCs w:val="28"/>
              </w:rPr>
              <w:t>报告编写</w:t>
            </w:r>
          </w:p>
        </w:tc>
        <w:tc>
          <w:tcPr>
            <w:tcW w:w="3827" w:type="dxa"/>
            <w:tcBorders>
              <w:tl2br w:val="nil"/>
              <w:tr2bl w:val="nil"/>
            </w:tcBorders>
            <w:vAlign w:val="center"/>
          </w:tcPr>
          <w:p>
            <w:pPr>
              <w:pStyle w:val="53"/>
              <w:rPr>
                <w:szCs w:val="22"/>
                <w:highlight w:val="yellow"/>
              </w:rPr>
            </w:pPr>
            <w:r>
              <w:rPr>
                <w:rFonts w:hint="eastAsia" w:ascii="宋体" w:eastAsia="宋体" w:cs="宋体"/>
                <w:sz w:val="28"/>
                <w:szCs w:val="28"/>
              </w:rPr>
              <w:t>黄巍</w:t>
            </w:r>
          </w:p>
        </w:tc>
        <w:tc>
          <w:tcPr>
            <w:tcW w:w="2268" w:type="dxa"/>
            <w:tcBorders>
              <w:tl2br w:val="nil"/>
              <w:tr2bl w:val="nil"/>
            </w:tcBorders>
            <w:vAlign w:val="center"/>
          </w:tcPr>
          <w:p>
            <w:pPr>
              <w:spacing w:line="240" w:lineRule="auto"/>
              <w:ind w:firstLine="0" w:firstLineChars="0"/>
              <w:jc w:val="center"/>
              <w:rPr>
                <w:rFonts w:eastAsia="宋体"/>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exact"/>
          <w:jc w:val="center"/>
        </w:trPr>
        <w:tc>
          <w:tcPr>
            <w:tcW w:w="3085" w:type="dxa"/>
            <w:vMerge w:val="continue"/>
            <w:tcBorders>
              <w:tl2br w:val="nil"/>
              <w:tr2bl w:val="nil"/>
            </w:tcBorders>
            <w:vAlign w:val="center"/>
          </w:tcPr>
          <w:p>
            <w:pPr>
              <w:ind w:firstLine="480"/>
            </w:pPr>
          </w:p>
        </w:tc>
        <w:tc>
          <w:tcPr>
            <w:tcW w:w="3827" w:type="dxa"/>
            <w:tcBorders>
              <w:tl2br w:val="nil"/>
              <w:tr2bl w:val="nil"/>
            </w:tcBorders>
            <w:vAlign w:val="center"/>
          </w:tcPr>
          <w:p>
            <w:pPr>
              <w:pStyle w:val="53"/>
              <w:rPr>
                <w:szCs w:val="22"/>
                <w:highlight w:val="yellow"/>
              </w:rPr>
            </w:pPr>
            <w:r>
              <w:rPr>
                <w:rFonts w:hint="eastAsia" w:ascii="宋体" w:eastAsia="宋体" w:cs="宋体"/>
                <w:sz w:val="28"/>
                <w:szCs w:val="28"/>
              </w:rPr>
              <w:t>陈慧琳</w:t>
            </w:r>
          </w:p>
        </w:tc>
        <w:tc>
          <w:tcPr>
            <w:tcW w:w="2268"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exact"/>
          <w:jc w:val="center"/>
        </w:trPr>
        <w:tc>
          <w:tcPr>
            <w:tcW w:w="3085" w:type="dxa"/>
            <w:vMerge w:val="continue"/>
            <w:tcBorders>
              <w:tl2br w:val="nil"/>
              <w:tr2bl w:val="nil"/>
            </w:tcBorders>
            <w:vAlign w:val="center"/>
          </w:tcPr>
          <w:p>
            <w:pPr>
              <w:ind w:firstLine="480"/>
            </w:pPr>
          </w:p>
        </w:tc>
        <w:tc>
          <w:tcPr>
            <w:tcW w:w="3827" w:type="dxa"/>
            <w:tcBorders>
              <w:tl2br w:val="nil"/>
              <w:tr2bl w:val="nil"/>
            </w:tcBorders>
            <w:vAlign w:val="center"/>
          </w:tcPr>
          <w:p>
            <w:pPr>
              <w:pStyle w:val="53"/>
              <w:rPr>
                <w:szCs w:val="22"/>
                <w:highlight w:val="yellow"/>
              </w:rPr>
            </w:pPr>
            <w:r>
              <w:rPr>
                <w:rFonts w:hint="eastAsia" w:ascii="宋体" w:eastAsia="宋体" w:cs="宋体"/>
                <w:sz w:val="28"/>
                <w:szCs w:val="28"/>
              </w:rPr>
              <w:t>李莎</w:t>
            </w:r>
          </w:p>
        </w:tc>
        <w:tc>
          <w:tcPr>
            <w:tcW w:w="2268" w:type="dxa"/>
            <w:tcBorders>
              <w:tl2br w:val="nil"/>
              <w:tr2bl w:val="nil"/>
            </w:tcBorders>
            <w:vAlign w:val="center"/>
          </w:tcPr>
          <w:p>
            <w:pPr>
              <w:spacing w:line="240" w:lineRule="auto"/>
              <w:ind w:firstLine="0" w:firstLineChars="0"/>
              <w:jc w:val="center"/>
              <w:rPr>
                <w:rFonts w:ascii="Calibri" w:hAnsi="Calibri" w:eastAsia="宋体"/>
                <w:kern w:val="0"/>
                <w:sz w:val="28"/>
                <w:szCs w:val="28"/>
              </w:rPr>
            </w:pPr>
          </w:p>
        </w:tc>
      </w:tr>
    </w:tbl>
    <w:p>
      <w:pPr>
        <w:tabs>
          <w:tab w:val="left" w:pos="5040"/>
        </w:tabs>
        <w:ind w:firstLine="0" w:firstLineChars="0"/>
        <w:jc w:val="left"/>
        <w:textAlignment w:val="center"/>
        <w:rPr>
          <w:rFonts w:eastAsia="黑体"/>
          <w:b/>
          <w:sz w:val="32"/>
          <w:szCs w:val="32"/>
        </w:rPr>
        <w:sectPr>
          <w:pgSz w:w="11906" w:h="16838"/>
          <w:pgMar w:top="1587" w:right="1587" w:bottom="1587" w:left="1587" w:header="822" w:footer="964" w:gutter="0"/>
          <w:cols w:space="720" w:num="1"/>
          <w:docGrid w:type="lines" w:linePitch="312" w:charSpace="0"/>
        </w:sectPr>
      </w:pPr>
    </w:p>
    <w:p>
      <w:pPr>
        <w:ind w:firstLine="0" w:firstLineChars="0"/>
        <w:jc w:val="center"/>
        <w:textAlignment w:val="center"/>
        <w:rPr>
          <w:rFonts w:eastAsia="黑体"/>
          <w:b/>
          <w:sz w:val="32"/>
          <w:szCs w:val="32"/>
        </w:rPr>
      </w:pPr>
      <w:r>
        <w:rPr>
          <w:rFonts w:hint="eastAsia" w:eastAsia="黑体"/>
          <w:b/>
          <w:sz w:val="32"/>
          <w:szCs w:val="32"/>
        </w:rPr>
        <w:t>目</w:t>
      </w:r>
      <w:r>
        <w:rPr>
          <w:rFonts w:eastAsia="黑体"/>
          <w:b/>
          <w:sz w:val="32"/>
          <w:szCs w:val="32"/>
        </w:rPr>
        <w:t xml:space="preserve"> </w:t>
      </w:r>
      <w:r>
        <w:rPr>
          <w:rFonts w:hint="eastAsia" w:eastAsia="黑体"/>
          <w:b/>
          <w:sz w:val="32"/>
          <w:szCs w:val="32"/>
        </w:rPr>
        <w:t xml:space="preserve"> </w:t>
      </w:r>
      <w:r>
        <w:rPr>
          <w:rFonts w:eastAsia="黑体"/>
          <w:b/>
          <w:sz w:val="32"/>
          <w:szCs w:val="32"/>
        </w:rPr>
        <w:t>录</w:t>
      </w:r>
    </w:p>
    <w:p>
      <w:pPr>
        <w:pStyle w:val="18"/>
        <w:tabs>
          <w:tab w:val="right" w:leader="dot" w:pos="8732"/>
          <w:tab w:val="clear" w:pos="8820"/>
        </w:tabs>
        <w:ind w:firstLine="560"/>
      </w:pPr>
      <w:r>
        <w:rPr>
          <w:rStyle w:val="26"/>
          <w:rFonts w:hint="eastAsia" w:eastAsia="仿宋_GB2312"/>
          <w:color w:val="auto"/>
          <w:sz w:val="28"/>
        </w:rPr>
        <w:fldChar w:fldCharType="begin"/>
      </w:r>
      <w:r>
        <w:rPr>
          <w:rStyle w:val="26"/>
          <w:rFonts w:hint="eastAsia" w:ascii="仿宋_GB2312" w:eastAsia="仿宋_GB2312"/>
          <w:color w:val="auto"/>
          <w:sz w:val="28"/>
          <w:szCs w:val="28"/>
        </w:rPr>
        <w:instrText xml:space="preserve"> TOC \o "1-2" \h \z \u </w:instrText>
      </w:r>
      <w:r>
        <w:rPr>
          <w:rFonts w:hint="eastAsia" w:ascii="仿宋_GB2312" w:eastAsia="仿宋_GB2312"/>
          <w:sz w:val="28"/>
          <w:szCs w:val="28"/>
        </w:rPr>
        <w:fldChar w:fldCharType="separate"/>
      </w:r>
      <w:r>
        <w:fldChar w:fldCharType="begin"/>
      </w:r>
      <w:r>
        <w:instrText xml:space="preserve"> HYPERLINK \l "_Toc1054" </w:instrText>
      </w:r>
      <w:r>
        <w:fldChar w:fldCharType="separate"/>
      </w:r>
      <w:r>
        <w:rPr>
          <w:rFonts w:hint="eastAsia" w:cs="仿宋"/>
        </w:rPr>
        <w:t>前  言</w:t>
      </w:r>
      <w:r>
        <w:tab/>
      </w:r>
      <w:r>
        <w:fldChar w:fldCharType="begin"/>
      </w:r>
      <w:r>
        <w:instrText xml:space="preserve"> PAGEREF _Toc1054 </w:instrText>
      </w:r>
      <w:r>
        <w:fldChar w:fldCharType="separate"/>
      </w:r>
      <w:r>
        <w:t>1</w:t>
      </w:r>
      <w:r>
        <w:fldChar w:fldCharType="end"/>
      </w:r>
      <w:r>
        <w:fldChar w:fldCharType="end"/>
      </w:r>
    </w:p>
    <w:p>
      <w:pPr>
        <w:pStyle w:val="18"/>
        <w:tabs>
          <w:tab w:val="right" w:leader="dot" w:pos="8732"/>
          <w:tab w:val="clear" w:pos="8820"/>
        </w:tabs>
        <w:ind w:firstLine="480"/>
      </w:pPr>
      <w:r>
        <w:fldChar w:fldCharType="begin"/>
      </w:r>
      <w:r>
        <w:instrText xml:space="preserve"> HYPERLINK \l "_Toc28731" </w:instrText>
      </w:r>
      <w:r>
        <w:fldChar w:fldCharType="separate"/>
      </w:r>
      <w:r>
        <w:rPr>
          <w:rFonts w:hint="eastAsia" w:cs="仿宋"/>
        </w:rPr>
        <w:t>1</w:t>
      </w:r>
      <w:r>
        <w:rPr>
          <w:rFonts w:hint="eastAsia" w:cs="仿宋_GB2312"/>
        </w:rPr>
        <w:t>项目及项目区概况</w:t>
      </w:r>
      <w:r>
        <w:tab/>
      </w:r>
      <w:r>
        <w:fldChar w:fldCharType="begin"/>
      </w:r>
      <w:r>
        <w:instrText xml:space="preserve"> PAGEREF _Toc28731 </w:instrText>
      </w:r>
      <w:r>
        <w:fldChar w:fldCharType="separate"/>
      </w:r>
      <w:r>
        <w:t>6</w:t>
      </w:r>
      <w:r>
        <w:fldChar w:fldCharType="end"/>
      </w:r>
      <w:r>
        <w:fldChar w:fldCharType="end"/>
      </w:r>
    </w:p>
    <w:p>
      <w:pPr>
        <w:pStyle w:val="19"/>
        <w:tabs>
          <w:tab w:val="right" w:leader="dot" w:pos="8732"/>
          <w:tab w:val="clear" w:pos="8820"/>
        </w:tabs>
        <w:ind w:left="480" w:firstLine="480"/>
      </w:pPr>
      <w:r>
        <w:fldChar w:fldCharType="begin"/>
      </w:r>
      <w:r>
        <w:instrText xml:space="preserve"> HYPERLINK \l "_Toc11640" </w:instrText>
      </w:r>
      <w:r>
        <w:fldChar w:fldCharType="separate"/>
      </w:r>
      <w:r>
        <w:rPr>
          <w:rFonts w:hint="eastAsia"/>
        </w:rPr>
        <w:t>1.1项目概况</w:t>
      </w:r>
      <w:r>
        <w:tab/>
      </w:r>
      <w:r>
        <w:fldChar w:fldCharType="begin"/>
      </w:r>
      <w:r>
        <w:instrText xml:space="preserve"> PAGEREF _Toc11640 </w:instrText>
      </w:r>
      <w:r>
        <w:fldChar w:fldCharType="separate"/>
      </w:r>
      <w:r>
        <w:t>6</w:t>
      </w:r>
      <w:r>
        <w:fldChar w:fldCharType="end"/>
      </w:r>
      <w:r>
        <w:fldChar w:fldCharType="end"/>
      </w:r>
    </w:p>
    <w:p>
      <w:pPr>
        <w:pStyle w:val="19"/>
        <w:tabs>
          <w:tab w:val="right" w:leader="dot" w:pos="8732"/>
          <w:tab w:val="clear" w:pos="8820"/>
        </w:tabs>
        <w:ind w:left="480" w:firstLine="480"/>
      </w:pPr>
      <w:r>
        <w:fldChar w:fldCharType="begin"/>
      </w:r>
      <w:r>
        <w:instrText xml:space="preserve"> HYPERLINK \l "_Toc1968" </w:instrText>
      </w:r>
      <w:r>
        <w:fldChar w:fldCharType="separate"/>
      </w:r>
      <w:r>
        <w:t>1.2项目区概况</w:t>
      </w:r>
      <w:r>
        <w:tab/>
      </w:r>
      <w:r>
        <w:fldChar w:fldCharType="begin"/>
      </w:r>
      <w:r>
        <w:instrText xml:space="preserve"> PAGEREF _Toc1968 </w:instrText>
      </w:r>
      <w:r>
        <w:fldChar w:fldCharType="separate"/>
      </w:r>
      <w:r>
        <w:t>16</w:t>
      </w:r>
      <w:r>
        <w:fldChar w:fldCharType="end"/>
      </w:r>
      <w:r>
        <w:fldChar w:fldCharType="end"/>
      </w:r>
    </w:p>
    <w:p>
      <w:pPr>
        <w:pStyle w:val="18"/>
        <w:tabs>
          <w:tab w:val="right" w:leader="dot" w:pos="8732"/>
          <w:tab w:val="clear" w:pos="8820"/>
        </w:tabs>
        <w:ind w:firstLine="480"/>
      </w:pPr>
      <w:r>
        <w:fldChar w:fldCharType="begin"/>
      </w:r>
      <w:r>
        <w:instrText xml:space="preserve"> HYPERLINK \l "_Toc16174" </w:instrText>
      </w:r>
      <w:r>
        <w:fldChar w:fldCharType="separate"/>
      </w:r>
      <w:r>
        <w:t>2水土保持方案和设计情况</w:t>
      </w:r>
      <w:r>
        <w:tab/>
      </w:r>
      <w:r>
        <w:fldChar w:fldCharType="begin"/>
      </w:r>
      <w:r>
        <w:instrText xml:space="preserve"> PAGEREF _Toc16174 </w:instrText>
      </w:r>
      <w:r>
        <w:fldChar w:fldCharType="separate"/>
      </w:r>
      <w:r>
        <w:t>20</w:t>
      </w:r>
      <w:r>
        <w:fldChar w:fldCharType="end"/>
      </w:r>
      <w:r>
        <w:fldChar w:fldCharType="end"/>
      </w:r>
    </w:p>
    <w:p>
      <w:pPr>
        <w:pStyle w:val="19"/>
        <w:tabs>
          <w:tab w:val="right" w:leader="dot" w:pos="8732"/>
          <w:tab w:val="clear" w:pos="8820"/>
        </w:tabs>
        <w:ind w:left="480" w:firstLine="480"/>
      </w:pPr>
      <w:r>
        <w:fldChar w:fldCharType="begin"/>
      </w:r>
      <w:r>
        <w:instrText xml:space="preserve"> HYPERLINK \l "_Toc4724" </w:instrText>
      </w:r>
      <w:r>
        <w:fldChar w:fldCharType="separate"/>
      </w:r>
      <w:r>
        <w:t>2.1主体工程设计</w:t>
      </w:r>
      <w:r>
        <w:tab/>
      </w:r>
      <w:r>
        <w:fldChar w:fldCharType="begin"/>
      </w:r>
      <w:r>
        <w:instrText xml:space="preserve"> PAGEREF _Toc4724 </w:instrText>
      </w:r>
      <w:r>
        <w:fldChar w:fldCharType="separate"/>
      </w:r>
      <w:r>
        <w:t>20</w:t>
      </w:r>
      <w:r>
        <w:fldChar w:fldCharType="end"/>
      </w:r>
      <w:r>
        <w:fldChar w:fldCharType="end"/>
      </w:r>
    </w:p>
    <w:p>
      <w:pPr>
        <w:pStyle w:val="19"/>
        <w:tabs>
          <w:tab w:val="right" w:leader="dot" w:pos="8732"/>
          <w:tab w:val="clear" w:pos="8820"/>
        </w:tabs>
        <w:ind w:left="480" w:firstLine="480"/>
      </w:pPr>
      <w:r>
        <w:fldChar w:fldCharType="begin"/>
      </w:r>
      <w:r>
        <w:instrText xml:space="preserve"> HYPERLINK \l "_Toc1744" </w:instrText>
      </w:r>
      <w:r>
        <w:fldChar w:fldCharType="separate"/>
      </w:r>
      <w:r>
        <w:t>2.2水土保持方案</w:t>
      </w:r>
      <w:r>
        <w:rPr>
          <w:rFonts w:hint="eastAsia"/>
        </w:rPr>
        <w:t>编报及批复情况</w:t>
      </w:r>
      <w:r>
        <w:tab/>
      </w:r>
      <w:r>
        <w:fldChar w:fldCharType="begin"/>
      </w:r>
      <w:r>
        <w:instrText xml:space="preserve"> PAGEREF _Toc1744 </w:instrText>
      </w:r>
      <w:r>
        <w:fldChar w:fldCharType="separate"/>
      </w:r>
      <w:r>
        <w:t>20</w:t>
      </w:r>
      <w:r>
        <w:fldChar w:fldCharType="end"/>
      </w:r>
      <w:r>
        <w:fldChar w:fldCharType="end"/>
      </w:r>
    </w:p>
    <w:p>
      <w:pPr>
        <w:pStyle w:val="19"/>
        <w:tabs>
          <w:tab w:val="right" w:leader="dot" w:pos="8732"/>
          <w:tab w:val="clear" w:pos="8820"/>
        </w:tabs>
        <w:ind w:left="480" w:firstLine="480"/>
      </w:pPr>
      <w:r>
        <w:fldChar w:fldCharType="begin"/>
      </w:r>
      <w:r>
        <w:instrText xml:space="preserve"> HYPERLINK \l "_Toc3293" </w:instrText>
      </w:r>
      <w:r>
        <w:fldChar w:fldCharType="separate"/>
      </w:r>
      <w:r>
        <w:t>2.</w:t>
      </w:r>
      <w:r>
        <w:rPr>
          <w:rFonts w:hint="eastAsia"/>
        </w:rPr>
        <w:t>3水土流失防治责任范围</w:t>
      </w:r>
      <w:r>
        <w:tab/>
      </w:r>
      <w:r>
        <w:fldChar w:fldCharType="begin"/>
      </w:r>
      <w:r>
        <w:instrText xml:space="preserve"> PAGEREF _Toc3293 </w:instrText>
      </w:r>
      <w:r>
        <w:fldChar w:fldCharType="separate"/>
      </w:r>
      <w:r>
        <w:t>20</w:t>
      </w:r>
      <w:r>
        <w:fldChar w:fldCharType="end"/>
      </w:r>
      <w:r>
        <w:fldChar w:fldCharType="end"/>
      </w:r>
    </w:p>
    <w:p>
      <w:pPr>
        <w:pStyle w:val="19"/>
        <w:tabs>
          <w:tab w:val="right" w:leader="dot" w:pos="8732"/>
          <w:tab w:val="clear" w:pos="8820"/>
        </w:tabs>
        <w:ind w:left="480" w:firstLine="480"/>
      </w:pPr>
      <w:r>
        <w:fldChar w:fldCharType="begin"/>
      </w:r>
      <w:r>
        <w:instrText xml:space="preserve"> HYPERLINK \l "_Toc2115" </w:instrText>
      </w:r>
      <w:r>
        <w:fldChar w:fldCharType="separate"/>
      </w:r>
      <w:r>
        <w:t>2.</w:t>
      </w:r>
      <w:r>
        <w:rPr>
          <w:rFonts w:hint="eastAsia"/>
        </w:rPr>
        <w:t>4水土流失防治目标</w:t>
      </w:r>
      <w:r>
        <w:tab/>
      </w:r>
      <w:r>
        <w:fldChar w:fldCharType="begin"/>
      </w:r>
      <w:r>
        <w:instrText xml:space="preserve"> PAGEREF _Toc2115 </w:instrText>
      </w:r>
      <w:r>
        <w:fldChar w:fldCharType="separate"/>
      </w:r>
      <w:r>
        <w:t>22</w:t>
      </w:r>
      <w:r>
        <w:fldChar w:fldCharType="end"/>
      </w:r>
      <w:r>
        <w:fldChar w:fldCharType="end"/>
      </w:r>
    </w:p>
    <w:p>
      <w:pPr>
        <w:pStyle w:val="19"/>
        <w:tabs>
          <w:tab w:val="right" w:leader="dot" w:pos="8732"/>
          <w:tab w:val="clear" w:pos="8820"/>
        </w:tabs>
        <w:ind w:left="480" w:firstLine="480"/>
      </w:pPr>
      <w:r>
        <w:fldChar w:fldCharType="begin"/>
      </w:r>
      <w:r>
        <w:instrText xml:space="preserve"> HYPERLINK \l "_Toc2202" </w:instrText>
      </w:r>
      <w:r>
        <w:fldChar w:fldCharType="separate"/>
      </w:r>
      <w:r>
        <w:t>2.</w:t>
      </w:r>
      <w:r>
        <w:rPr>
          <w:rFonts w:hint="eastAsia"/>
        </w:rPr>
        <w:t>5水土保持措施和工程量</w:t>
      </w:r>
      <w:r>
        <w:tab/>
      </w:r>
      <w:r>
        <w:fldChar w:fldCharType="begin"/>
      </w:r>
      <w:r>
        <w:instrText xml:space="preserve"> PAGEREF _Toc2202 </w:instrText>
      </w:r>
      <w:r>
        <w:fldChar w:fldCharType="separate"/>
      </w:r>
      <w:r>
        <w:t>23</w:t>
      </w:r>
      <w:r>
        <w:fldChar w:fldCharType="end"/>
      </w:r>
      <w:r>
        <w:fldChar w:fldCharType="end"/>
      </w:r>
    </w:p>
    <w:p>
      <w:pPr>
        <w:pStyle w:val="19"/>
        <w:tabs>
          <w:tab w:val="right" w:leader="dot" w:pos="8732"/>
          <w:tab w:val="clear" w:pos="8820"/>
        </w:tabs>
        <w:ind w:left="480" w:firstLine="480"/>
      </w:pPr>
      <w:r>
        <w:fldChar w:fldCharType="begin"/>
      </w:r>
      <w:r>
        <w:instrText xml:space="preserve"> HYPERLINK \l "_Toc7787" </w:instrText>
      </w:r>
      <w:r>
        <w:fldChar w:fldCharType="separate"/>
      </w:r>
      <w:r>
        <w:t>2.</w:t>
      </w:r>
      <w:r>
        <w:rPr>
          <w:rFonts w:hint="eastAsia"/>
        </w:rPr>
        <w:t>6水土保持投资</w:t>
      </w:r>
      <w:r>
        <w:tab/>
      </w:r>
      <w:r>
        <w:fldChar w:fldCharType="begin"/>
      </w:r>
      <w:r>
        <w:instrText xml:space="preserve"> PAGEREF _Toc7787 </w:instrText>
      </w:r>
      <w:r>
        <w:fldChar w:fldCharType="separate"/>
      </w:r>
      <w:r>
        <w:t>26</w:t>
      </w:r>
      <w:r>
        <w:fldChar w:fldCharType="end"/>
      </w:r>
      <w:r>
        <w:fldChar w:fldCharType="end"/>
      </w:r>
    </w:p>
    <w:p>
      <w:pPr>
        <w:pStyle w:val="19"/>
        <w:tabs>
          <w:tab w:val="right" w:leader="dot" w:pos="8732"/>
          <w:tab w:val="clear" w:pos="8820"/>
        </w:tabs>
        <w:ind w:left="480" w:firstLine="480"/>
      </w:pPr>
      <w:r>
        <w:fldChar w:fldCharType="begin"/>
      </w:r>
      <w:r>
        <w:instrText xml:space="preserve"> HYPERLINK \l "_Toc3369" </w:instrText>
      </w:r>
      <w:r>
        <w:fldChar w:fldCharType="separate"/>
      </w:r>
      <w:r>
        <w:t>2.</w:t>
      </w:r>
      <w:r>
        <w:rPr>
          <w:rFonts w:hint="eastAsia"/>
        </w:rPr>
        <w:t>7</w:t>
      </w:r>
      <w:r>
        <w:t>水土保持</w:t>
      </w:r>
      <w:r>
        <w:rPr>
          <w:rFonts w:hint="eastAsia"/>
        </w:rPr>
        <w:t>变更</w:t>
      </w:r>
      <w:r>
        <w:tab/>
      </w:r>
      <w:r>
        <w:fldChar w:fldCharType="begin"/>
      </w:r>
      <w:r>
        <w:instrText xml:space="preserve"> PAGEREF _Toc3369 </w:instrText>
      </w:r>
      <w:r>
        <w:fldChar w:fldCharType="separate"/>
      </w:r>
      <w:r>
        <w:t>26</w:t>
      </w:r>
      <w:r>
        <w:fldChar w:fldCharType="end"/>
      </w:r>
      <w:r>
        <w:fldChar w:fldCharType="end"/>
      </w:r>
    </w:p>
    <w:p>
      <w:pPr>
        <w:pStyle w:val="18"/>
        <w:tabs>
          <w:tab w:val="right" w:leader="dot" w:pos="8732"/>
          <w:tab w:val="clear" w:pos="8820"/>
        </w:tabs>
        <w:ind w:firstLine="480"/>
      </w:pPr>
      <w:r>
        <w:fldChar w:fldCharType="begin"/>
      </w:r>
      <w:r>
        <w:instrText xml:space="preserve"> HYPERLINK \l "_Toc4687" </w:instrText>
      </w:r>
      <w:r>
        <w:fldChar w:fldCharType="separate"/>
      </w:r>
      <w:r>
        <w:rPr>
          <w:rFonts w:hint="eastAsia" w:cs="仿宋"/>
          <w:kern w:val="0"/>
        </w:rPr>
        <w:t>3.水土保持方案实施情况</w:t>
      </w:r>
      <w:r>
        <w:tab/>
      </w:r>
      <w:r>
        <w:fldChar w:fldCharType="begin"/>
      </w:r>
      <w:r>
        <w:instrText xml:space="preserve"> PAGEREF _Toc4687 </w:instrText>
      </w:r>
      <w:r>
        <w:fldChar w:fldCharType="separate"/>
      </w:r>
      <w:r>
        <w:t>28</w:t>
      </w:r>
      <w:r>
        <w:fldChar w:fldCharType="end"/>
      </w:r>
      <w:r>
        <w:fldChar w:fldCharType="end"/>
      </w:r>
    </w:p>
    <w:p>
      <w:pPr>
        <w:pStyle w:val="19"/>
        <w:tabs>
          <w:tab w:val="right" w:leader="dot" w:pos="8732"/>
          <w:tab w:val="clear" w:pos="8820"/>
        </w:tabs>
        <w:ind w:left="480" w:firstLine="480"/>
      </w:pPr>
      <w:r>
        <w:fldChar w:fldCharType="begin"/>
      </w:r>
      <w:r>
        <w:instrText xml:space="preserve"> HYPERLINK \l "_Toc10476" </w:instrText>
      </w:r>
      <w:r>
        <w:fldChar w:fldCharType="separate"/>
      </w:r>
      <w:r>
        <w:rPr>
          <w:rFonts w:hint="eastAsia"/>
        </w:rPr>
        <w:t>3.1</w:t>
      </w:r>
      <w:r>
        <w:t>水土流失防治责任范围</w:t>
      </w:r>
      <w:r>
        <w:tab/>
      </w:r>
      <w:r>
        <w:fldChar w:fldCharType="begin"/>
      </w:r>
      <w:r>
        <w:instrText xml:space="preserve"> PAGEREF _Toc10476 </w:instrText>
      </w:r>
      <w:r>
        <w:fldChar w:fldCharType="separate"/>
      </w:r>
      <w:r>
        <w:t>28</w:t>
      </w:r>
      <w:r>
        <w:fldChar w:fldCharType="end"/>
      </w:r>
      <w:r>
        <w:fldChar w:fldCharType="end"/>
      </w:r>
    </w:p>
    <w:p>
      <w:pPr>
        <w:pStyle w:val="19"/>
        <w:tabs>
          <w:tab w:val="right" w:leader="dot" w:pos="8732"/>
          <w:tab w:val="clear" w:pos="8820"/>
        </w:tabs>
        <w:ind w:left="480" w:firstLine="480"/>
      </w:pPr>
      <w:r>
        <w:fldChar w:fldCharType="begin"/>
      </w:r>
      <w:r>
        <w:instrText xml:space="preserve"> HYPERLINK \l "_Toc25692" </w:instrText>
      </w:r>
      <w:r>
        <w:fldChar w:fldCharType="separate"/>
      </w:r>
      <w:r>
        <w:rPr>
          <w:rFonts w:hint="eastAsia"/>
        </w:rPr>
        <w:t>3</w:t>
      </w:r>
      <w:r>
        <w:t>.</w:t>
      </w:r>
      <w:r>
        <w:rPr>
          <w:rFonts w:hint="eastAsia"/>
        </w:rPr>
        <w:t>2 取（弃）土场设置</w:t>
      </w:r>
      <w:r>
        <w:tab/>
      </w:r>
      <w:r>
        <w:fldChar w:fldCharType="begin"/>
      </w:r>
      <w:r>
        <w:instrText xml:space="preserve"> PAGEREF _Toc25692 </w:instrText>
      </w:r>
      <w:r>
        <w:fldChar w:fldCharType="separate"/>
      </w:r>
      <w:r>
        <w:t>29</w:t>
      </w:r>
      <w:r>
        <w:fldChar w:fldCharType="end"/>
      </w:r>
      <w:r>
        <w:fldChar w:fldCharType="end"/>
      </w:r>
    </w:p>
    <w:p>
      <w:pPr>
        <w:pStyle w:val="19"/>
        <w:tabs>
          <w:tab w:val="right" w:leader="dot" w:pos="8732"/>
          <w:tab w:val="clear" w:pos="8820"/>
        </w:tabs>
        <w:ind w:left="480" w:firstLine="480"/>
      </w:pPr>
      <w:r>
        <w:fldChar w:fldCharType="begin"/>
      </w:r>
      <w:r>
        <w:instrText xml:space="preserve"> HYPERLINK \l "_Toc8165" </w:instrText>
      </w:r>
      <w:r>
        <w:fldChar w:fldCharType="separate"/>
      </w:r>
      <w:r>
        <w:t>3.</w:t>
      </w:r>
      <w:r>
        <w:rPr>
          <w:rFonts w:hint="eastAsia"/>
        </w:rPr>
        <w:t>3</w:t>
      </w:r>
      <w:r>
        <w:t xml:space="preserve"> 水土保持设施完成情况</w:t>
      </w:r>
      <w:r>
        <w:tab/>
      </w:r>
      <w:r>
        <w:fldChar w:fldCharType="begin"/>
      </w:r>
      <w:r>
        <w:instrText xml:space="preserve"> PAGEREF _Toc8165 </w:instrText>
      </w:r>
      <w:r>
        <w:fldChar w:fldCharType="separate"/>
      </w:r>
      <w:r>
        <w:t>29</w:t>
      </w:r>
      <w:r>
        <w:fldChar w:fldCharType="end"/>
      </w:r>
      <w:r>
        <w:fldChar w:fldCharType="end"/>
      </w:r>
    </w:p>
    <w:p>
      <w:pPr>
        <w:pStyle w:val="19"/>
        <w:tabs>
          <w:tab w:val="right" w:leader="dot" w:pos="8732"/>
          <w:tab w:val="clear" w:pos="8820"/>
        </w:tabs>
        <w:ind w:left="480" w:firstLine="480"/>
      </w:pPr>
      <w:r>
        <w:fldChar w:fldCharType="begin"/>
      </w:r>
      <w:r>
        <w:instrText xml:space="preserve"> HYPERLINK \l "_Toc8362" </w:instrText>
      </w:r>
      <w:r>
        <w:fldChar w:fldCharType="separate"/>
      </w:r>
      <w:r>
        <w:t>3.</w:t>
      </w:r>
      <w:r>
        <w:rPr>
          <w:rFonts w:hint="eastAsia"/>
        </w:rPr>
        <w:t>4</w:t>
      </w:r>
      <w:r>
        <w:t xml:space="preserve"> 水土保持投资完成情况</w:t>
      </w:r>
      <w:r>
        <w:tab/>
      </w:r>
      <w:r>
        <w:fldChar w:fldCharType="begin"/>
      </w:r>
      <w:r>
        <w:instrText xml:space="preserve"> PAGEREF _Toc8362 </w:instrText>
      </w:r>
      <w:r>
        <w:fldChar w:fldCharType="separate"/>
      </w:r>
      <w:r>
        <w:t>35</w:t>
      </w:r>
      <w:r>
        <w:fldChar w:fldCharType="end"/>
      </w:r>
      <w:r>
        <w:fldChar w:fldCharType="end"/>
      </w:r>
    </w:p>
    <w:p>
      <w:pPr>
        <w:pStyle w:val="18"/>
        <w:tabs>
          <w:tab w:val="right" w:leader="dot" w:pos="8732"/>
          <w:tab w:val="clear" w:pos="8820"/>
        </w:tabs>
        <w:ind w:firstLine="480"/>
      </w:pPr>
      <w:r>
        <w:fldChar w:fldCharType="begin"/>
      </w:r>
      <w:r>
        <w:instrText xml:space="preserve"> HYPERLINK \l "_Toc19819" </w:instrText>
      </w:r>
      <w:r>
        <w:fldChar w:fldCharType="separate"/>
      </w:r>
      <w:r>
        <w:rPr>
          <w:rFonts w:cs="仿宋"/>
          <w:kern w:val="0"/>
        </w:rPr>
        <w:t>4水土保持工程质量</w:t>
      </w:r>
      <w:r>
        <w:tab/>
      </w:r>
      <w:r>
        <w:fldChar w:fldCharType="begin"/>
      </w:r>
      <w:r>
        <w:instrText xml:space="preserve"> PAGEREF _Toc19819 </w:instrText>
      </w:r>
      <w:r>
        <w:fldChar w:fldCharType="separate"/>
      </w:r>
      <w:r>
        <w:t>37</w:t>
      </w:r>
      <w:r>
        <w:fldChar w:fldCharType="end"/>
      </w:r>
      <w:r>
        <w:fldChar w:fldCharType="end"/>
      </w:r>
    </w:p>
    <w:p>
      <w:pPr>
        <w:pStyle w:val="19"/>
        <w:tabs>
          <w:tab w:val="right" w:leader="dot" w:pos="8732"/>
          <w:tab w:val="clear" w:pos="8820"/>
        </w:tabs>
        <w:ind w:left="480" w:firstLine="480"/>
      </w:pPr>
      <w:r>
        <w:fldChar w:fldCharType="begin"/>
      </w:r>
      <w:r>
        <w:instrText xml:space="preserve"> HYPERLINK \l "_Toc7788" </w:instrText>
      </w:r>
      <w:r>
        <w:fldChar w:fldCharType="separate"/>
      </w:r>
      <w:r>
        <w:t>4.1 质量管理体系</w:t>
      </w:r>
      <w:r>
        <w:tab/>
      </w:r>
      <w:r>
        <w:fldChar w:fldCharType="begin"/>
      </w:r>
      <w:r>
        <w:instrText xml:space="preserve"> PAGEREF _Toc7788 </w:instrText>
      </w:r>
      <w:r>
        <w:fldChar w:fldCharType="separate"/>
      </w:r>
      <w:r>
        <w:t>37</w:t>
      </w:r>
      <w:r>
        <w:fldChar w:fldCharType="end"/>
      </w:r>
      <w:r>
        <w:fldChar w:fldCharType="end"/>
      </w:r>
    </w:p>
    <w:p>
      <w:pPr>
        <w:pStyle w:val="19"/>
        <w:tabs>
          <w:tab w:val="right" w:leader="dot" w:pos="8732"/>
          <w:tab w:val="clear" w:pos="8820"/>
        </w:tabs>
        <w:ind w:left="480" w:firstLine="480"/>
      </w:pPr>
      <w:r>
        <w:fldChar w:fldCharType="begin"/>
      </w:r>
      <w:r>
        <w:instrText xml:space="preserve"> HYPERLINK \l "_Toc14411" </w:instrText>
      </w:r>
      <w:r>
        <w:fldChar w:fldCharType="separate"/>
      </w:r>
      <w:r>
        <w:t>4.2 各防治分区水土保持工程质量评价</w:t>
      </w:r>
      <w:r>
        <w:tab/>
      </w:r>
      <w:r>
        <w:fldChar w:fldCharType="begin"/>
      </w:r>
      <w:r>
        <w:instrText xml:space="preserve"> PAGEREF _Toc14411 </w:instrText>
      </w:r>
      <w:r>
        <w:fldChar w:fldCharType="separate"/>
      </w:r>
      <w:r>
        <w:t>38</w:t>
      </w:r>
      <w:r>
        <w:fldChar w:fldCharType="end"/>
      </w:r>
      <w:r>
        <w:fldChar w:fldCharType="end"/>
      </w:r>
    </w:p>
    <w:p>
      <w:pPr>
        <w:pStyle w:val="19"/>
        <w:tabs>
          <w:tab w:val="right" w:leader="dot" w:pos="8732"/>
          <w:tab w:val="clear" w:pos="8820"/>
        </w:tabs>
        <w:ind w:left="480" w:firstLine="480"/>
      </w:pPr>
      <w:r>
        <w:fldChar w:fldCharType="begin"/>
      </w:r>
      <w:r>
        <w:instrText xml:space="preserve"> HYPERLINK \l "_Toc19452" </w:instrText>
      </w:r>
      <w:r>
        <w:fldChar w:fldCharType="separate"/>
      </w:r>
      <w:r>
        <w:t>4.3 总体质量评价</w:t>
      </w:r>
      <w:r>
        <w:tab/>
      </w:r>
      <w:r>
        <w:fldChar w:fldCharType="begin"/>
      </w:r>
      <w:r>
        <w:instrText xml:space="preserve"> PAGEREF _Toc19452 </w:instrText>
      </w:r>
      <w:r>
        <w:fldChar w:fldCharType="separate"/>
      </w:r>
      <w:r>
        <w:t>43</w:t>
      </w:r>
      <w:r>
        <w:fldChar w:fldCharType="end"/>
      </w:r>
      <w:r>
        <w:fldChar w:fldCharType="end"/>
      </w:r>
    </w:p>
    <w:p>
      <w:pPr>
        <w:pStyle w:val="18"/>
        <w:tabs>
          <w:tab w:val="right" w:leader="dot" w:pos="8732"/>
          <w:tab w:val="clear" w:pos="8820"/>
        </w:tabs>
        <w:ind w:firstLine="480"/>
      </w:pPr>
      <w:r>
        <w:fldChar w:fldCharType="begin"/>
      </w:r>
      <w:r>
        <w:instrText xml:space="preserve"> HYPERLINK \l "_Toc5428" </w:instrText>
      </w:r>
      <w:r>
        <w:fldChar w:fldCharType="separate"/>
      </w:r>
      <w:r>
        <w:t>5工程初期运行及水土保持效果</w:t>
      </w:r>
      <w:r>
        <w:tab/>
      </w:r>
      <w:r>
        <w:fldChar w:fldCharType="begin"/>
      </w:r>
      <w:r>
        <w:instrText xml:space="preserve"> PAGEREF _Toc5428 </w:instrText>
      </w:r>
      <w:r>
        <w:fldChar w:fldCharType="separate"/>
      </w:r>
      <w:r>
        <w:t>45</w:t>
      </w:r>
      <w:r>
        <w:fldChar w:fldCharType="end"/>
      </w:r>
      <w:r>
        <w:fldChar w:fldCharType="end"/>
      </w:r>
    </w:p>
    <w:p>
      <w:pPr>
        <w:pStyle w:val="19"/>
        <w:tabs>
          <w:tab w:val="right" w:leader="dot" w:pos="8732"/>
          <w:tab w:val="clear" w:pos="8820"/>
        </w:tabs>
        <w:ind w:left="480" w:firstLine="480"/>
      </w:pPr>
      <w:r>
        <w:fldChar w:fldCharType="begin"/>
      </w:r>
      <w:r>
        <w:instrText xml:space="preserve"> HYPERLINK \l "_Toc29722" </w:instrText>
      </w:r>
      <w:r>
        <w:fldChar w:fldCharType="separate"/>
      </w:r>
      <w:r>
        <w:t xml:space="preserve">5.1 </w:t>
      </w:r>
      <w:r>
        <w:rPr>
          <w:rFonts w:hint="eastAsia"/>
        </w:rPr>
        <w:t>初期</w:t>
      </w:r>
      <w:r>
        <w:t>运行情况</w:t>
      </w:r>
      <w:r>
        <w:tab/>
      </w:r>
      <w:r>
        <w:fldChar w:fldCharType="begin"/>
      </w:r>
      <w:r>
        <w:instrText xml:space="preserve"> PAGEREF _Toc29722 </w:instrText>
      </w:r>
      <w:r>
        <w:fldChar w:fldCharType="separate"/>
      </w:r>
      <w:r>
        <w:t>45</w:t>
      </w:r>
      <w:r>
        <w:fldChar w:fldCharType="end"/>
      </w:r>
      <w:r>
        <w:fldChar w:fldCharType="end"/>
      </w:r>
    </w:p>
    <w:p>
      <w:pPr>
        <w:pStyle w:val="19"/>
        <w:tabs>
          <w:tab w:val="right" w:leader="dot" w:pos="8732"/>
          <w:tab w:val="clear" w:pos="8820"/>
        </w:tabs>
        <w:ind w:left="480" w:firstLine="480"/>
      </w:pPr>
      <w:r>
        <w:fldChar w:fldCharType="begin"/>
      </w:r>
      <w:r>
        <w:instrText xml:space="preserve"> HYPERLINK \l "_Toc4459" </w:instrText>
      </w:r>
      <w:r>
        <w:fldChar w:fldCharType="separate"/>
      </w:r>
      <w:r>
        <w:t>5.2 水土保持效果</w:t>
      </w:r>
      <w:r>
        <w:tab/>
      </w:r>
      <w:r>
        <w:fldChar w:fldCharType="begin"/>
      </w:r>
      <w:r>
        <w:instrText xml:space="preserve"> PAGEREF _Toc4459 </w:instrText>
      </w:r>
      <w:r>
        <w:fldChar w:fldCharType="separate"/>
      </w:r>
      <w:r>
        <w:t>45</w:t>
      </w:r>
      <w:r>
        <w:fldChar w:fldCharType="end"/>
      </w:r>
      <w:r>
        <w:fldChar w:fldCharType="end"/>
      </w:r>
    </w:p>
    <w:p>
      <w:pPr>
        <w:pStyle w:val="19"/>
        <w:tabs>
          <w:tab w:val="right" w:leader="dot" w:pos="8732"/>
          <w:tab w:val="clear" w:pos="8820"/>
        </w:tabs>
        <w:ind w:left="480" w:firstLine="480"/>
      </w:pPr>
      <w:r>
        <w:fldChar w:fldCharType="begin"/>
      </w:r>
      <w:r>
        <w:instrText xml:space="preserve"> HYPERLINK \l "_Toc3676" </w:instrText>
      </w:r>
      <w:r>
        <w:fldChar w:fldCharType="separate"/>
      </w:r>
      <w:r>
        <w:t>5.</w:t>
      </w:r>
      <w:r>
        <w:rPr>
          <w:rFonts w:hint="eastAsia"/>
        </w:rPr>
        <w:t>3</w:t>
      </w:r>
      <w:r>
        <w:t>公众满意度调查</w:t>
      </w:r>
      <w:r>
        <w:tab/>
      </w:r>
      <w:r>
        <w:fldChar w:fldCharType="begin"/>
      </w:r>
      <w:r>
        <w:instrText xml:space="preserve"> PAGEREF _Toc3676 </w:instrText>
      </w:r>
      <w:r>
        <w:fldChar w:fldCharType="separate"/>
      </w:r>
      <w:r>
        <w:t>47</w:t>
      </w:r>
      <w:r>
        <w:fldChar w:fldCharType="end"/>
      </w:r>
      <w:r>
        <w:fldChar w:fldCharType="end"/>
      </w:r>
    </w:p>
    <w:p>
      <w:pPr>
        <w:pStyle w:val="18"/>
        <w:tabs>
          <w:tab w:val="right" w:leader="dot" w:pos="8732"/>
          <w:tab w:val="clear" w:pos="8820"/>
        </w:tabs>
        <w:ind w:firstLine="480"/>
      </w:pPr>
      <w:r>
        <w:fldChar w:fldCharType="begin"/>
      </w:r>
      <w:r>
        <w:instrText xml:space="preserve"> HYPERLINK \l "_Toc20492" </w:instrText>
      </w:r>
      <w:r>
        <w:fldChar w:fldCharType="separate"/>
      </w:r>
      <w:r>
        <w:t>6水土保持管理</w:t>
      </w:r>
      <w:r>
        <w:tab/>
      </w:r>
      <w:r>
        <w:fldChar w:fldCharType="begin"/>
      </w:r>
      <w:r>
        <w:instrText xml:space="preserve"> PAGEREF _Toc20492 </w:instrText>
      </w:r>
      <w:r>
        <w:fldChar w:fldCharType="separate"/>
      </w:r>
      <w:r>
        <w:t>49</w:t>
      </w:r>
      <w:r>
        <w:fldChar w:fldCharType="end"/>
      </w:r>
      <w:r>
        <w:fldChar w:fldCharType="end"/>
      </w:r>
    </w:p>
    <w:p>
      <w:pPr>
        <w:pStyle w:val="19"/>
        <w:tabs>
          <w:tab w:val="right" w:leader="dot" w:pos="8732"/>
          <w:tab w:val="clear" w:pos="8820"/>
        </w:tabs>
        <w:ind w:left="480" w:firstLine="480"/>
      </w:pPr>
      <w:r>
        <w:fldChar w:fldCharType="begin"/>
      </w:r>
      <w:r>
        <w:instrText xml:space="preserve"> HYPERLINK \l "_Toc31712" </w:instrText>
      </w:r>
      <w:r>
        <w:fldChar w:fldCharType="separate"/>
      </w:r>
      <w:r>
        <w:t>6.1 组织领导</w:t>
      </w:r>
      <w:r>
        <w:tab/>
      </w:r>
      <w:r>
        <w:fldChar w:fldCharType="begin"/>
      </w:r>
      <w:r>
        <w:instrText xml:space="preserve"> PAGEREF _Toc31712 </w:instrText>
      </w:r>
      <w:r>
        <w:fldChar w:fldCharType="separate"/>
      </w:r>
      <w:r>
        <w:t>49</w:t>
      </w:r>
      <w:r>
        <w:fldChar w:fldCharType="end"/>
      </w:r>
      <w:r>
        <w:fldChar w:fldCharType="end"/>
      </w:r>
    </w:p>
    <w:p>
      <w:pPr>
        <w:pStyle w:val="19"/>
        <w:tabs>
          <w:tab w:val="right" w:leader="dot" w:pos="8732"/>
          <w:tab w:val="clear" w:pos="8820"/>
        </w:tabs>
        <w:ind w:left="480" w:firstLine="480"/>
      </w:pPr>
      <w:r>
        <w:fldChar w:fldCharType="begin"/>
      </w:r>
      <w:r>
        <w:instrText xml:space="preserve"> HYPERLINK \l "_Toc5735" </w:instrText>
      </w:r>
      <w:r>
        <w:fldChar w:fldCharType="separate"/>
      </w:r>
      <w:r>
        <w:t>6.2 规章制度</w:t>
      </w:r>
      <w:r>
        <w:tab/>
      </w:r>
      <w:r>
        <w:fldChar w:fldCharType="begin"/>
      </w:r>
      <w:r>
        <w:instrText xml:space="preserve"> PAGEREF _Toc5735 </w:instrText>
      </w:r>
      <w:r>
        <w:fldChar w:fldCharType="separate"/>
      </w:r>
      <w:r>
        <w:t>49</w:t>
      </w:r>
      <w:r>
        <w:fldChar w:fldCharType="end"/>
      </w:r>
      <w:r>
        <w:fldChar w:fldCharType="end"/>
      </w:r>
      <w:bookmarkStart w:id="155" w:name="_GoBack"/>
      <w:bookmarkEnd w:id="155"/>
    </w:p>
    <w:p>
      <w:pPr>
        <w:pStyle w:val="19"/>
        <w:tabs>
          <w:tab w:val="right" w:leader="dot" w:pos="8732"/>
          <w:tab w:val="clear" w:pos="8820"/>
        </w:tabs>
        <w:ind w:left="480" w:firstLine="480"/>
      </w:pPr>
      <w:r>
        <w:fldChar w:fldCharType="begin"/>
      </w:r>
      <w:r>
        <w:instrText xml:space="preserve"> HYPERLINK \l "_Toc23225" </w:instrText>
      </w:r>
      <w:r>
        <w:fldChar w:fldCharType="separate"/>
      </w:r>
      <w:r>
        <w:t>6.3 建设管理</w:t>
      </w:r>
      <w:r>
        <w:tab/>
      </w:r>
      <w:r>
        <w:fldChar w:fldCharType="begin"/>
      </w:r>
      <w:r>
        <w:instrText xml:space="preserve"> PAGEREF _Toc23225 </w:instrText>
      </w:r>
      <w:r>
        <w:fldChar w:fldCharType="separate"/>
      </w:r>
      <w:r>
        <w:t>50</w:t>
      </w:r>
      <w:r>
        <w:fldChar w:fldCharType="end"/>
      </w:r>
      <w:r>
        <w:fldChar w:fldCharType="end"/>
      </w:r>
    </w:p>
    <w:p>
      <w:pPr>
        <w:pStyle w:val="19"/>
        <w:tabs>
          <w:tab w:val="right" w:leader="dot" w:pos="8732"/>
          <w:tab w:val="clear" w:pos="8820"/>
        </w:tabs>
        <w:ind w:left="480" w:firstLine="480"/>
      </w:pPr>
      <w:r>
        <w:fldChar w:fldCharType="begin"/>
      </w:r>
      <w:r>
        <w:instrText xml:space="preserve"> HYPERLINK \l "_Toc18493" </w:instrText>
      </w:r>
      <w:r>
        <w:fldChar w:fldCharType="separate"/>
      </w:r>
      <w:r>
        <w:t>6.</w:t>
      </w:r>
      <w:r>
        <w:rPr>
          <w:rFonts w:hint="eastAsia"/>
        </w:rPr>
        <w:t>4</w:t>
      </w:r>
      <w:r>
        <w:t xml:space="preserve"> 水土保持监测</w:t>
      </w:r>
      <w:r>
        <w:tab/>
      </w:r>
      <w:r>
        <w:fldChar w:fldCharType="begin"/>
      </w:r>
      <w:r>
        <w:instrText xml:space="preserve"> PAGEREF _Toc18493 </w:instrText>
      </w:r>
      <w:r>
        <w:fldChar w:fldCharType="separate"/>
      </w:r>
      <w:r>
        <w:t>50</w:t>
      </w:r>
      <w:r>
        <w:fldChar w:fldCharType="end"/>
      </w:r>
      <w:r>
        <w:fldChar w:fldCharType="end"/>
      </w:r>
    </w:p>
    <w:p>
      <w:pPr>
        <w:pStyle w:val="19"/>
        <w:tabs>
          <w:tab w:val="right" w:leader="dot" w:pos="8732"/>
          <w:tab w:val="clear" w:pos="8820"/>
        </w:tabs>
        <w:ind w:left="480" w:firstLine="480"/>
      </w:pPr>
      <w:r>
        <w:fldChar w:fldCharType="begin"/>
      </w:r>
      <w:r>
        <w:instrText xml:space="preserve"> HYPERLINK \l "_Toc11704" </w:instrText>
      </w:r>
      <w:r>
        <w:fldChar w:fldCharType="separate"/>
      </w:r>
      <w:r>
        <w:t>6.</w:t>
      </w:r>
      <w:r>
        <w:rPr>
          <w:rFonts w:hint="eastAsia"/>
        </w:rPr>
        <w:t>5</w:t>
      </w:r>
      <w:r>
        <w:t xml:space="preserve"> </w:t>
      </w:r>
      <w:r>
        <w:rPr>
          <w:rFonts w:hint="eastAsia"/>
        </w:rPr>
        <w:t>水土保持</w:t>
      </w:r>
      <w:r>
        <w:t>监理</w:t>
      </w:r>
      <w:r>
        <w:tab/>
      </w:r>
      <w:r>
        <w:fldChar w:fldCharType="begin"/>
      </w:r>
      <w:r>
        <w:instrText xml:space="preserve"> PAGEREF _Toc11704 </w:instrText>
      </w:r>
      <w:r>
        <w:fldChar w:fldCharType="separate"/>
      </w:r>
      <w:r>
        <w:t>51</w:t>
      </w:r>
      <w:r>
        <w:fldChar w:fldCharType="end"/>
      </w:r>
      <w:r>
        <w:fldChar w:fldCharType="end"/>
      </w:r>
    </w:p>
    <w:p>
      <w:pPr>
        <w:pStyle w:val="19"/>
        <w:tabs>
          <w:tab w:val="right" w:leader="dot" w:pos="8732"/>
          <w:tab w:val="clear" w:pos="8820"/>
        </w:tabs>
        <w:ind w:left="480" w:firstLine="480"/>
      </w:pPr>
      <w:r>
        <w:fldChar w:fldCharType="begin"/>
      </w:r>
      <w:r>
        <w:instrText xml:space="preserve"> HYPERLINK \l "_Toc6883" </w:instrText>
      </w:r>
      <w:r>
        <w:fldChar w:fldCharType="separate"/>
      </w:r>
      <w:r>
        <w:rPr>
          <w:rFonts w:hint="eastAsia"/>
        </w:rPr>
        <w:t>6.6 水行政主管部门监督检查意见落实情况</w:t>
      </w:r>
      <w:r>
        <w:tab/>
      </w:r>
      <w:r>
        <w:fldChar w:fldCharType="begin"/>
      </w:r>
      <w:r>
        <w:instrText xml:space="preserve"> PAGEREF _Toc6883 </w:instrText>
      </w:r>
      <w:r>
        <w:fldChar w:fldCharType="separate"/>
      </w:r>
      <w:r>
        <w:t>53</w:t>
      </w:r>
      <w:r>
        <w:fldChar w:fldCharType="end"/>
      </w:r>
      <w:r>
        <w:fldChar w:fldCharType="end"/>
      </w:r>
    </w:p>
    <w:p>
      <w:pPr>
        <w:pStyle w:val="19"/>
        <w:tabs>
          <w:tab w:val="right" w:leader="dot" w:pos="8732"/>
          <w:tab w:val="clear" w:pos="8820"/>
        </w:tabs>
        <w:ind w:left="480" w:firstLine="480"/>
      </w:pPr>
      <w:r>
        <w:fldChar w:fldCharType="begin"/>
      </w:r>
      <w:r>
        <w:instrText xml:space="preserve"> HYPERLINK \l "_Toc17273" </w:instrText>
      </w:r>
      <w:r>
        <w:fldChar w:fldCharType="separate"/>
      </w:r>
      <w:r>
        <w:rPr>
          <w:rFonts w:hint="eastAsia"/>
        </w:rPr>
        <w:t>6.7</w:t>
      </w:r>
      <w:r>
        <w:t>水土保持补偿费缴纳情况</w:t>
      </w:r>
      <w:r>
        <w:tab/>
      </w:r>
      <w:r>
        <w:fldChar w:fldCharType="begin"/>
      </w:r>
      <w:r>
        <w:instrText xml:space="preserve"> PAGEREF _Toc17273 </w:instrText>
      </w:r>
      <w:r>
        <w:fldChar w:fldCharType="separate"/>
      </w:r>
      <w:r>
        <w:t>53</w:t>
      </w:r>
      <w:r>
        <w:fldChar w:fldCharType="end"/>
      </w:r>
      <w:r>
        <w:fldChar w:fldCharType="end"/>
      </w:r>
    </w:p>
    <w:p>
      <w:pPr>
        <w:pStyle w:val="19"/>
        <w:tabs>
          <w:tab w:val="right" w:leader="dot" w:pos="8732"/>
          <w:tab w:val="clear" w:pos="8820"/>
        </w:tabs>
        <w:ind w:left="480" w:firstLine="480"/>
      </w:pPr>
      <w:r>
        <w:fldChar w:fldCharType="begin"/>
      </w:r>
      <w:r>
        <w:instrText xml:space="preserve"> HYPERLINK \l "_Toc24225" </w:instrText>
      </w:r>
      <w:r>
        <w:fldChar w:fldCharType="separate"/>
      </w:r>
      <w:r>
        <w:t>6.</w:t>
      </w:r>
      <w:r>
        <w:rPr>
          <w:rFonts w:hint="eastAsia"/>
        </w:rPr>
        <w:t>8</w:t>
      </w:r>
      <w:r>
        <w:t xml:space="preserve"> 水土保持设施管理维护</w:t>
      </w:r>
      <w:r>
        <w:tab/>
      </w:r>
      <w:r>
        <w:fldChar w:fldCharType="begin"/>
      </w:r>
      <w:r>
        <w:instrText xml:space="preserve"> PAGEREF _Toc24225 </w:instrText>
      </w:r>
      <w:r>
        <w:fldChar w:fldCharType="separate"/>
      </w:r>
      <w:r>
        <w:t>54</w:t>
      </w:r>
      <w:r>
        <w:fldChar w:fldCharType="end"/>
      </w:r>
      <w:r>
        <w:fldChar w:fldCharType="end"/>
      </w:r>
    </w:p>
    <w:p>
      <w:pPr>
        <w:pStyle w:val="18"/>
        <w:tabs>
          <w:tab w:val="right" w:leader="dot" w:pos="8732"/>
          <w:tab w:val="clear" w:pos="8820"/>
        </w:tabs>
        <w:ind w:firstLine="480"/>
      </w:pPr>
      <w:r>
        <w:fldChar w:fldCharType="begin"/>
      </w:r>
      <w:r>
        <w:instrText xml:space="preserve"> HYPERLINK \l "_Toc24287" </w:instrText>
      </w:r>
      <w:r>
        <w:fldChar w:fldCharType="separate"/>
      </w:r>
      <w:r>
        <w:t>7结论及下阶段工作安排</w:t>
      </w:r>
      <w:r>
        <w:tab/>
      </w:r>
      <w:r>
        <w:fldChar w:fldCharType="begin"/>
      </w:r>
      <w:r>
        <w:instrText xml:space="preserve"> PAGEREF _Toc24287 </w:instrText>
      </w:r>
      <w:r>
        <w:fldChar w:fldCharType="separate"/>
      </w:r>
      <w:r>
        <w:t>56</w:t>
      </w:r>
      <w:r>
        <w:fldChar w:fldCharType="end"/>
      </w:r>
      <w:r>
        <w:fldChar w:fldCharType="end"/>
      </w:r>
    </w:p>
    <w:p>
      <w:pPr>
        <w:pStyle w:val="19"/>
        <w:tabs>
          <w:tab w:val="right" w:leader="dot" w:pos="8732"/>
          <w:tab w:val="clear" w:pos="8820"/>
        </w:tabs>
        <w:ind w:left="480" w:firstLine="480"/>
      </w:pPr>
      <w:r>
        <w:fldChar w:fldCharType="begin"/>
      </w:r>
      <w:r>
        <w:instrText xml:space="preserve"> HYPERLINK \l "_Toc30648" </w:instrText>
      </w:r>
      <w:r>
        <w:fldChar w:fldCharType="separate"/>
      </w:r>
      <w:r>
        <w:t>7.1 自验结论</w:t>
      </w:r>
      <w:r>
        <w:tab/>
      </w:r>
      <w:r>
        <w:fldChar w:fldCharType="begin"/>
      </w:r>
      <w:r>
        <w:instrText xml:space="preserve"> PAGEREF _Toc30648 </w:instrText>
      </w:r>
      <w:r>
        <w:fldChar w:fldCharType="separate"/>
      </w:r>
      <w:r>
        <w:t>56</w:t>
      </w:r>
      <w:r>
        <w:fldChar w:fldCharType="end"/>
      </w:r>
      <w:r>
        <w:fldChar w:fldCharType="end"/>
      </w:r>
    </w:p>
    <w:p>
      <w:pPr>
        <w:pStyle w:val="19"/>
        <w:tabs>
          <w:tab w:val="right" w:leader="dot" w:pos="8732"/>
          <w:tab w:val="clear" w:pos="8820"/>
        </w:tabs>
        <w:ind w:left="480" w:firstLine="480"/>
      </w:pPr>
      <w:r>
        <w:fldChar w:fldCharType="begin"/>
      </w:r>
      <w:r>
        <w:instrText xml:space="preserve"> HYPERLINK \l "_Toc29793" </w:instrText>
      </w:r>
      <w:r>
        <w:fldChar w:fldCharType="separate"/>
      </w:r>
      <w:r>
        <w:t>7.2 下阶段工作安排</w:t>
      </w:r>
      <w:r>
        <w:tab/>
      </w:r>
      <w:r>
        <w:fldChar w:fldCharType="begin"/>
      </w:r>
      <w:r>
        <w:instrText xml:space="preserve"> PAGEREF _Toc29793 </w:instrText>
      </w:r>
      <w:r>
        <w:fldChar w:fldCharType="separate"/>
      </w:r>
      <w:r>
        <w:t>56</w:t>
      </w:r>
      <w:r>
        <w:fldChar w:fldCharType="end"/>
      </w:r>
      <w:r>
        <w:fldChar w:fldCharType="end"/>
      </w:r>
    </w:p>
    <w:p>
      <w:pPr>
        <w:pStyle w:val="18"/>
        <w:tabs>
          <w:tab w:val="right" w:leader="dot" w:pos="8732"/>
          <w:tab w:val="clear" w:pos="8820"/>
        </w:tabs>
        <w:ind w:firstLine="480"/>
      </w:pPr>
      <w:r>
        <w:fldChar w:fldCharType="begin"/>
      </w:r>
      <w:r>
        <w:instrText xml:space="preserve"> HYPERLINK \l "_Toc11516" </w:instrText>
      </w:r>
      <w:r>
        <w:fldChar w:fldCharType="separate"/>
      </w:r>
      <w:r>
        <w:rPr>
          <w:rFonts w:hint="eastAsia"/>
          <w:bCs/>
        </w:rPr>
        <w:t>8 附件附图</w:t>
      </w:r>
      <w:r>
        <w:tab/>
      </w:r>
      <w:r>
        <w:fldChar w:fldCharType="begin"/>
      </w:r>
      <w:r>
        <w:instrText xml:space="preserve"> PAGEREF _Toc11516 </w:instrText>
      </w:r>
      <w:r>
        <w:fldChar w:fldCharType="separate"/>
      </w:r>
      <w:r>
        <w:t>57</w:t>
      </w:r>
      <w:r>
        <w:fldChar w:fldCharType="end"/>
      </w:r>
      <w:r>
        <w:fldChar w:fldCharType="end"/>
      </w:r>
    </w:p>
    <w:p>
      <w:pPr>
        <w:pStyle w:val="19"/>
        <w:tabs>
          <w:tab w:val="right" w:leader="dot" w:pos="8732"/>
          <w:tab w:val="clear" w:pos="8820"/>
        </w:tabs>
        <w:ind w:left="480" w:firstLine="480"/>
      </w:pPr>
      <w:r>
        <w:fldChar w:fldCharType="begin"/>
      </w:r>
      <w:r>
        <w:instrText xml:space="preserve"> HYPERLINK \l "_Toc10969" </w:instrText>
      </w:r>
      <w:r>
        <w:fldChar w:fldCharType="separate"/>
      </w:r>
      <w:r>
        <w:rPr>
          <w:rFonts w:hint="eastAsia"/>
        </w:rPr>
        <w:t>8.1 附件</w:t>
      </w:r>
      <w:r>
        <w:tab/>
      </w:r>
      <w:r>
        <w:fldChar w:fldCharType="begin"/>
      </w:r>
      <w:r>
        <w:instrText xml:space="preserve"> PAGEREF _Toc10969 </w:instrText>
      </w:r>
      <w:r>
        <w:fldChar w:fldCharType="separate"/>
      </w:r>
      <w:r>
        <w:t>57</w:t>
      </w:r>
      <w:r>
        <w:fldChar w:fldCharType="end"/>
      </w:r>
      <w:r>
        <w:fldChar w:fldCharType="end"/>
      </w:r>
    </w:p>
    <w:p>
      <w:pPr>
        <w:pStyle w:val="19"/>
        <w:tabs>
          <w:tab w:val="right" w:leader="dot" w:pos="8732"/>
          <w:tab w:val="clear" w:pos="8820"/>
        </w:tabs>
        <w:ind w:left="480" w:firstLine="480"/>
      </w:pPr>
      <w:r>
        <w:fldChar w:fldCharType="begin"/>
      </w:r>
      <w:r>
        <w:instrText xml:space="preserve"> HYPERLINK \l "_Toc24552" </w:instrText>
      </w:r>
      <w:r>
        <w:fldChar w:fldCharType="separate"/>
      </w:r>
      <w:r>
        <w:t>1、</w:t>
      </w:r>
      <w:r>
        <w:rPr>
          <w:rFonts w:hint="eastAsia"/>
        </w:rPr>
        <w:t>水土保持方案批复</w:t>
      </w:r>
      <w:r>
        <w:tab/>
      </w:r>
      <w:r>
        <w:fldChar w:fldCharType="begin"/>
      </w:r>
      <w:r>
        <w:instrText xml:space="preserve"> PAGEREF _Toc24552 </w:instrText>
      </w:r>
      <w:r>
        <w:fldChar w:fldCharType="separate"/>
      </w:r>
      <w:r>
        <w:t>57</w:t>
      </w:r>
      <w:r>
        <w:fldChar w:fldCharType="end"/>
      </w:r>
      <w:r>
        <w:fldChar w:fldCharType="end"/>
      </w:r>
    </w:p>
    <w:p>
      <w:pPr>
        <w:pStyle w:val="19"/>
        <w:tabs>
          <w:tab w:val="right" w:leader="dot" w:pos="8732"/>
          <w:tab w:val="clear" w:pos="8820"/>
        </w:tabs>
        <w:ind w:left="480" w:firstLine="480"/>
      </w:pPr>
      <w:r>
        <w:fldChar w:fldCharType="begin"/>
      </w:r>
      <w:r>
        <w:instrText xml:space="preserve"> HYPERLINK \l "_Toc949" </w:instrText>
      </w:r>
      <w:r>
        <w:fldChar w:fldCharType="separate"/>
      </w:r>
      <w:r>
        <w:rPr>
          <w:rFonts w:hint="eastAsia"/>
        </w:rPr>
        <w:t>2</w:t>
      </w:r>
      <w:r>
        <w:t>、</w:t>
      </w:r>
      <w:r>
        <w:rPr>
          <w:rFonts w:hint="eastAsia"/>
        </w:rPr>
        <w:t>水土保持补偿费缴费凭证</w:t>
      </w:r>
      <w:r>
        <w:tab/>
      </w:r>
      <w:r>
        <w:fldChar w:fldCharType="begin"/>
      </w:r>
      <w:r>
        <w:instrText xml:space="preserve"> PAGEREF _Toc949 </w:instrText>
      </w:r>
      <w:r>
        <w:fldChar w:fldCharType="separate"/>
      </w:r>
      <w:r>
        <w:t>60</w:t>
      </w:r>
      <w:r>
        <w:fldChar w:fldCharType="end"/>
      </w:r>
      <w:r>
        <w:fldChar w:fldCharType="end"/>
      </w:r>
    </w:p>
    <w:p>
      <w:pPr>
        <w:pStyle w:val="19"/>
        <w:tabs>
          <w:tab w:val="right" w:leader="dot" w:pos="8732"/>
          <w:tab w:val="clear" w:pos="8820"/>
        </w:tabs>
        <w:ind w:left="480" w:firstLine="480"/>
      </w:pPr>
      <w:r>
        <w:fldChar w:fldCharType="begin"/>
      </w:r>
      <w:r>
        <w:instrText xml:space="preserve"> HYPERLINK \l "_Toc8846" </w:instrText>
      </w:r>
      <w:r>
        <w:fldChar w:fldCharType="separate"/>
      </w:r>
      <w:r>
        <w:rPr>
          <w:rFonts w:hint="eastAsia"/>
        </w:rPr>
        <w:t>3、水土保持重大变更说明</w:t>
      </w:r>
      <w:r>
        <w:tab/>
      </w:r>
      <w:r>
        <w:fldChar w:fldCharType="begin"/>
      </w:r>
      <w:r>
        <w:instrText xml:space="preserve"> PAGEREF _Toc8846 </w:instrText>
      </w:r>
      <w:r>
        <w:fldChar w:fldCharType="separate"/>
      </w:r>
      <w:r>
        <w:t>61</w:t>
      </w:r>
      <w:r>
        <w:fldChar w:fldCharType="end"/>
      </w:r>
      <w:r>
        <w:fldChar w:fldCharType="end"/>
      </w:r>
    </w:p>
    <w:p>
      <w:pPr>
        <w:pStyle w:val="19"/>
        <w:tabs>
          <w:tab w:val="right" w:leader="dot" w:pos="8732"/>
          <w:tab w:val="clear" w:pos="8820"/>
        </w:tabs>
        <w:ind w:left="480" w:firstLine="480"/>
      </w:pPr>
      <w:r>
        <w:fldChar w:fldCharType="begin"/>
      </w:r>
      <w:r>
        <w:instrText xml:space="preserve"> HYPERLINK \l "_Toc28085" </w:instrText>
      </w:r>
      <w:r>
        <w:fldChar w:fldCharType="separate"/>
      </w:r>
      <w:r>
        <w:rPr>
          <w:rFonts w:hint="eastAsia"/>
        </w:rPr>
        <w:t>4、 单位工程自验检查照片</w:t>
      </w:r>
      <w:r>
        <w:tab/>
      </w:r>
      <w:r>
        <w:fldChar w:fldCharType="begin"/>
      </w:r>
      <w:r>
        <w:instrText xml:space="preserve"> PAGEREF _Toc28085 </w:instrText>
      </w:r>
      <w:r>
        <w:fldChar w:fldCharType="separate"/>
      </w:r>
      <w:r>
        <w:t>62</w:t>
      </w:r>
      <w:r>
        <w:fldChar w:fldCharType="end"/>
      </w:r>
      <w:r>
        <w:fldChar w:fldCharType="end"/>
      </w:r>
    </w:p>
    <w:p>
      <w:pPr>
        <w:pStyle w:val="19"/>
        <w:spacing w:line="480" w:lineRule="exact"/>
        <w:ind w:left="0" w:leftChars="0" w:firstLine="0" w:firstLineChars="0"/>
        <w:rPr>
          <w:b/>
          <w:sz w:val="28"/>
          <w:szCs w:val="28"/>
        </w:rPr>
      </w:pPr>
      <w:r>
        <w:rPr>
          <w:rFonts w:hint="eastAsia" w:ascii="仿宋_GB2312" w:hAnsi="仿宋_GB2312"/>
          <w:szCs w:val="28"/>
        </w:rPr>
        <w:fldChar w:fldCharType="end"/>
      </w:r>
      <w:r>
        <w:rPr>
          <w:rFonts w:hint="eastAsia"/>
          <w:sz w:val="28"/>
          <w:szCs w:val="28"/>
        </w:rPr>
        <w:t xml:space="preserve">    </w:t>
      </w:r>
      <w:r>
        <w:rPr>
          <w:rFonts w:hint="eastAsia"/>
          <w:b/>
          <w:sz w:val="28"/>
          <w:szCs w:val="28"/>
        </w:rPr>
        <w:t xml:space="preserve"> </w:t>
      </w:r>
    </w:p>
    <w:p>
      <w:pPr>
        <w:ind w:firstLine="0" w:firstLineChars="0"/>
        <w:sectPr>
          <w:pgSz w:w="11906" w:h="16838"/>
          <w:pgMar w:top="1587" w:right="1587" w:bottom="1587" w:left="1587" w:header="822" w:footer="964" w:gutter="0"/>
          <w:cols w:space="720" w:num="1"/>
          <w:docGrid w:type="lines" w:linePitch="312" w:charSpace="0"/>
        </w:sectPr>
      </w:pPr>
    </w:p>
    <w:p>
      <w:pPr>
        <w:pStyle w:val="3"/>
        <w:spacing w:line="240" w:lineRule="auto"/>
        <w:ind w:firstLine="0" w:firstLineChars="0"/>
        <w:jc w:val="center"/>
        <w:rPr>
          <w:rFonts w:cs="仿宋"/>
        </w:rPr>
      </w:pPr>
      <w:bookmarkStart w:id="0" w:name="_Toc1054"/>
      <w:r>
        <w:rPr>
          <w:rFonts w:hint="eastAsia" w:cs="仿宋"/>
        </w:rPr>
        <w:t>前  言</w:t>
      </w:r>
      <w:bookmarkEnd w:id="0"/>
    </w:p>
    <w:p>
      <w:pPr>
        <w:pStyle w:val="2"/>
        <w:ind w:firstLine="480"/>
      </w:pPr>
      <w:r>
        <w:rPr>
          <w:rFonts w:hint="eastAsia"/>
        </w:rPr>
        <w:t>楚天都市沁园建设项目位于武汉市洪山区青菱街道双建村，黄家湖以北，三环线以南，地理经纬坐标为30° 27' 28.17" N，114° 17' 14.03" E。项目地块北侧为规划清菱南路，东侧为规划清菱南二路，西侧为规划清菱南一路，南侧为环湖北路，交通较为便利。</w:t>
      </w:r>
    </w:p>
    <w:p>
      <w:pPr>
        <w:pStyle w:val="2"/>
        <w:ind w:firstLine="480"/>
      </w:pPr>
      <w:r>
        <w:rPr>
          <w:rFonts w:hint="eastAsia"/>
        </w:rPr>
        <w:t>项目规划总用地面积18.60hm</w:t>
      </w:r>
      <w:r>
        <w:rPr>
          <w:rFonts w:hint="eastAsia"/>
          <w:vertAlign w:val="superscript"/>
        </w:rPr>
        <w:t>2</w:t>
      </w:r>
      <w:r>
        <w:rPr>
          <w:rFonts w:hint="eastAsia"/>
        </w:rPr>
        <w:t>（其中东区13.76hm</w:t>
      </w:r>
      <w:r>
        <w:rPr>
          <w:rFonts w:hint="eastAsia"/>
          <w:vertAlign w:val="superscript"/>
        </w:rPr>
        <w:t>2</w:t>
      </w:r>
      <w:r>
        <w:rPr>
          <w:rFonts w:hint="eastAsia"/>
        </w:rPr>
        <w:t>，西区4.84hm</w:t>
      </w:r>
      <w:r>
        <w:rPr>
          <w:rFonts w:hint="eastAsia"/>
          <w:vertAlign w:val="superscript"/>
        </w:rPr>
        <w:t>2</w:t>
      </w:r>
      <w:r>
        <w:rPr>
          <w:rFonts w:hint="eastAsia"/>
        </w:rPr>
        <w:t>），工程主要建设内容包括内容包括2栋45层的住宅楼；15栋27~32层的住宅楼；7栋24~26层的住宅楼；41栋3~4层的低密度住宅楼；3栋2~4层独立商业楼；一栋幼儿园为2、3层建筑物；地下设1层地下室，绿化景观，道路广场等沿建筑物周边合理布设。地下室主要用作地下车库，少量为设备用房，人防工程用房，占地12.70hm</w:t>
      </w:r>
      <w:r>
        <w:rPr>
          <w:rFonts w:hint="eastAsia"/>
          <w:vertAlign w:val="superscript"/>
        </w:rPr>
        <w:t>2</w:t>
      </w:r>
      <w:r>
        <w:rPr>
          <w:rFonts w:hint="eastAsia"/>
        </w:rPr>
        <w:t>。</w:t>
      </w:r>
    </w:p>
    <w:p>
      <w:pPr>
        <w:pStyle w:val="2"/>
        <w:ind w:firstLine="480"/>
      </w:pPr>
      <w:r>
        <w:rPr>
          <w:rFonts w:hint="eastAsia"/>
        </w:rPr>
        <w:t>东区总占地13.76 hm</w:t>
      </w:r>
      <w:r>
        <w:rPr>
          <w:rFonts w:hint="eastAsia"/>
          <w:vertAlign w:val="superscript"/>
        </w:rPr>
        <w:t>2</w:t>
      </w:r>
      <w:r>
        <w:rPr>
          <w:rFonts w:hint="eastAsia"/>
        </w:rPr>
        <w:t>，其中建筑物工程占地3.14hm</w:t>
      </w:r>
      <w:r>
        <w:rPr>
          <w:rFonts w:hint="eastAsia"/>
          <w:vertAlign w:val="superscript"/>
        </w:rPr>
        <w:t>2</w:t>
      </w:r>
      <w:r>
        <w:rPr>
          <w:rFonts w:hint="eastAsia"/>
        </w:rPr>
        <w:t>，道路硬化区占地5.76hm</w:t>
      </w:r>
      <w:r>
        <w:rPr>
          <w:rFonts w:hint="eastAsia"/>
          <w:vertAlign w:val="superscript"/>
        </w:rPr>
        <w:t>2</w:t>
      </w:r>
      <w:r>
        <w:rPr>
          <w:rFonts w:hint="eastAsia"/>
        </w:rPr>
        <w:t>，绿化区占地4.86hm</w:t>
      </w:r>
      <w:r>
        <w:rPr>
          <w:rFonts w:hint="eastAsia"/>
          <w:vertAlign w:val="superscript"/>
        </w:rPr>
        <w:t>2</w:t>
      </w:r>
      <w:r>
        <w:rPr>
          <w:rFonts w:hint="eastAsia"/>
        </w:rPr>
        <w:t xml:space="preserve">，临时堆土场、施工场地、施工便道位于永久占地范围内。 </w:t>
      </w:r>
    </w:p>
    <w:p>
      <w:pPr>
        <w:pStyle w:val="2"/>
        <w:ind w:firstLine="480"/>
      </w:pPr>
      <w:r>
        <w:rPr>
          <w:rFonts w:hint="eastAsia"/>
        </w:rPr>
        <w:t>西区总占地4.84hm</w:t>
      </w:r>
      <w:r>
        <w:rPr>
          <w:rFonts w:hint="eastAsia"/>
          <w:vertAlign w:val="superscript"/>
        </w:rPr>
        <w:t>2</w:t>
      </w:r>
      <w:r>
        <w:rPr>
          <w:rFonts w:hint="eastAsia"/>
        </w:rPr>
        <w:t>，其中建筑物工程占地0.95hm</w:t>
      </w:r>
      <w:r>
        <w:rPr>
          <w:rFonts w:hint="eastAsia"/>
          <w:vertAlign w:val="superscript"/>
        </w:rPr>
        <w:t>2</w:t>
      </w:r>
      <w:r>
        <w:rPr>
          <w:rFonts w:hint="eastAsia"/>
        </w:rPr>
        <w:t>，道路硬化区占地2.17hm</w:t>
      </w:r>
      <w:r>
        <w:rPr>
          <w:rFonts w:hint="eastAsia"/>
          <w:vertAlign w:val="superscript"/>
        </w:rPr>
        <w:t>2</w:t>
      </w:r>
      <w:r>
        <w:rPr>
          <w:rFonts w:hint="eastAsia"/>
        </w:rPr>
        <w:t>，绿化区占地1.72hm</w:t>
      </w:r>
      <w:r>
        <w:rPr>
          <w:rFonts w:hint="eastAsia"/>
          <w:vertAlign w:val="superscript"/>
        </w:rPr>
        <w:t>2</w:t>
      </w:r>
      <w:r>
        <w:rPr>
          <w:rFonts w:hint="eastAsia"/>
        </w:rPr>
        <w:t>，临时堆土场、施工场地、施工便道位于永久占地范围内。</w:t>
      </w:r>
    </w:p>
    <w:p>
      <w:pPr>
        <w:pStyle w:val="2"/>
        <w:ind w:firstLine="480"/>
      </w:pPr>
      <w:r>
        <w:rPr>
          <w:rFonts w:hint="eastAsia"/>
        </w:rPr>
        <w:t>东区地上建筑面积267040m</w:t>
      </w:r>
      <w:r>
        <w:rPr>
          <w:rFonts w:hint="eastAsia"/>
          <w:vertAlign w:val="superscript"/>
        </w:rPr>
        <w:t>2</w:t>
      </w:r>
      <w:r>
        <w:rPr>
          <w:rFonts w:hint="eastAsia"/>
        </w:rPr>
        <w:t>（住宅建筑面积251740m</w:t>
      </w:r>
      <w:r>
        <w:rPr>
          <w:rFonts w:hint="eastAsia"/>
          <w:vertAlign w:val="superscript"/>
        </w:rPr>
        <w:t>2</w:t>
      </w:r>
      <w:r>
        <w:rPr>
          <w:rFonts w:hint="eastAsia"/>
        </w:rPr>
        <w:t>，商业建筑面积10400m</w:t>
      </w:r>
      <w:r>
        <w:rPr>
          <w:rFonts w:hint="eastAsia"/>
          <w:vertAlign w:val="superscript"/>
        </w:rPr>
        <w:t>2</w:t>
      </w:r>
      <w:r>
        <w:rPr>
          <w:rFonts w:hint="eastAsia"/>
        </w:rPr>
        <w:t>，公共配建建筑面积4900m</w:t>
      </w:r>
      <w:r>
        <w:rPr>
          <w:rFonts w:hint="eastAsia"/>
          <w:vertAlign w:val="superscript"/>
        </w:rPr>
        <w:t>2</w:t>
      </w:r>
      <w:r>
        <w:rPr>
          <w:rFonts w:hint="eastAsia"/>
        </w:rPr>
        <w:t>），地下建筑面积为85700m</w:t>
      </w:r>
      <w:r>
        <w:rPr>
          <w:rFonts w:hint="eastAsia"/>
          <w:vertAlign w:val="superscript"/>
        </w:rPr>
        <w:t>2</w:t>
      </w:r>
      <w:r>
        <w:rPr>
          <w:rFonts w:hint="eastAsia"/>
        </w:rPr>
        <w:t>，架空层建筑面积5550m</w:t>
      </w:r>
      <w:r>
        <w:rPr>
          <w:rFonts w:hint="eastAsia"/>
          <w:vertAlign w:val="superscript"/>
        </w:rPr>
        <w:t>2</w:t>
      </w:r>
      <w:r>
        <w:rPr>
          <w:rFonts w:hint="eastAsia"/>
        </w:rPr>
        <w:t>，容积率1.94，建筑密度22.8%，绿地率35.3%，机动车停车位为1944辆，其中地面停车位170辆，地下停车位1774辆。</w:t>
      </w:r>
    </w:p>
    <w:p>
      <w:pPr>
        <w:pStyle w:val="2"/>
        <w:ind w:firstLine="480"/>
      </w:pPr>
      <w:r>
        <w:rPr>
          <w:rFonts w:hint="eastAsia"/>
        </w:rPr>
        <w:t>西区地上建筑面积184280m</w:t>
      </w:r>
      <w:r>
        <w:rPr>
          <w:rFonts w:hint="eastAsia"/>
          <w:vertAlign w:val="superscript"/>
        </w:rPr>
        <w:t>2</w:t>
      </w:r>
      <w:r>
        <w:rPr>
          <w:rFonts w:hint="eastAsia"/>
        </w:rPr>
        <w:t>（住宅建筑面积176730m</w:t>
      </w:r>
      <w:r>
        <w:rPr>
          <w:rFonts w:hint="eastAsia"/>
          <w:vertAlign w:val="superscript"/>
        </w:rPr>
        <w:t>2</w:t>
      </w:r>
      <w:r>
        <w:rPr>
          <w:rFonts w:hint="eastAsia"/>
        </w:rPr>
        <w:t>，商业建筑面积7550m</w:t>
      </w:r>
      <w:r>
        <w:rPr>
          <w:rFonts w:hint="eastAsia"/>
          <w:vertAlign w:val="superscript"/>
        </w:rPr>
        <w:t>2</w:t>
      </w:r>
      <w:r>
        <w:rPr>
          <w:rFonts w:hint="eastAsia"/>
        </w:rPr>
        <w:t>），地下建筑面积为41250m2，架空层建筑面积3260m</w:t>
      </w:r>
      <w:r>
        <w:rPr>
          <w:rFonts w:hint="eastAsia"/>
          <w:vertAlign w:val="superscript"/>
        </w:rPr>
        <w:t>2</w:t>
      </w:r>
      <w:r>
        <w:rPr>
          <w:rFonts w:hint="eastAsia"/>
        </w:rPr>
        <w:t>，容积率3.80，建筑密度19.6%，绿地率35.6%，机动车停车位为1064辆，其中地面停车位154辆，地下停车位910辆。</w:t>
      </w:r>
    </w:p>
    <w:p>
      <w:pPr>
        <w:ind w:firstLine="480"/>
      </w:pPr>
      <w:r>
        <w:rPr>
          <w:rFonts w:hint="eastAsia"/>
        </w:rPr>
        <w:t xml:space="preserve">工程占地类型为裸地和其他草地。 </w:t>
      </w:r>
    </w:p>
    <w:p>
      <w:pPr>
        <w:ind w:firstLine="480"/>
      </w:pPr>
      <w:bookmarkStart w:id="1" w:name="OLE_LINK3"/>
      <w:bookmarkStart w:id="2" w:name="OLE_LINK4"/>
      <w:r>
        <w:rPr>
          <w:rFonts w:hint="eastAsia"/>
        </w:rPr>
        <w:t>本工程总挖方93.85万m</w:t>
      </w:r>
      <w:r>
        <w:rPr>
          <w:rFonts w:hint="eastAsia"/>
          <w:vertAlign w:val="superscript"/>
        </w:rPr>
        <w:t>3</w:t>
      </w:r>
      <w:r>
        <w:rPr>
          <w:rFonts w:hint="eastAsia"/>
        </w:rPr>
        <w:t>，总填方20.34万m</w:t>
      </w:r>
      <w:r>
        <w:rPr>
          <w:rFonts w:hint="eastAsia"/>
          <w:vertAlign w:val="superscript"/>
        </w:rPr>
        <w:t>3</w:t>
      </w:r>
      <w:r>
        <w:rPr>
          <w:rFonts w:hint="eastAsia"/>
        </w:rPr>
        <w:t>，弃土弃渣73.51万m</w:t>
      </w:r>
      <w:r>
        <w:rPr>
          <w:rFonts w:hint="eastAsia"/>
          <w:vertAlign w:val="superscript"/>
        </w:rPr>
        <w:t>3</w:t>
      </w:r>
      <w:r>
        <w:rPr>
          <w:rFonts w:hint="eastAsia"/>
        </w:rPr>
        <w:t>，全部运往庙山开发区花山吴村建筑垃圾消纳场，无外借土方。</w:t>
      </w:r>
    </w:p>
    <w:bookmarkEnd w:id="1"/>
    <w:bookmarkEnd w:id="2"/>
    <w:p>
      <w:pPr>
        <w:ind w:firstLine="480"/>
      </w:pPr>
      <w:r>
        <w:rPr>
          <w:rFonts w:hint="eastAsia"/>
        </w:rPr>
        <w:t>本项目总投资271141.5万元，资金的主要来源为自有资金加阶段性融资，其中土建投资222405.0万元。</w:t>
      </w:r>
    </w:p>
    <w:p>
      <w:pPr>
        <w:ind w:firstLine="480"/>
      </w:pPr>
      <w:r>
        <w:rPr>
          <w:rFonts w:hint="eastAsia"/>
        </w:rPr>
        <w:t>参建</w:t>
      </w:r>
    </w:p>
    <w:p>
      <w:pPr>
        <w:ind w:firstLine="480"/>
      </w:pPr>
      <w:r>
        <w:rPr>
          <w:rFonts w:hint="eastAsia"/>
        </w:rPr>
        <w:t>施工单位：湖北民族建设集团有限公司、湖北广盛建设集团有限责任公司</w:t>
      </w:r>
    </w:p>
    <w:p>
      <w:pPr>
        <w:ind w:firstLine="480"/>
      </w:pPr>
      <w:r>
        <w:rPr>
          <w:rFonts w:hint="eastAsia"/>
        </w:rPr>
        <w:t>监理单位：北京中协成建设监理有限责任公司</w:t>
      </w:r>
    </w:p>
    <w:p>
      <w:pPr>
        <w:ind w:firstLine="480"/>
      </w:pPr>
      <w:r>
        <w:rPr>
          <w:rFonts w:hint="eastAsia"/>
        </w:rPr>
        <w:t>水土保持监测单位：武汉卫澜环保科技有限责任公司</w:t>
      </w:r>
    </w:p>
    <w:p>
      <w:pPr>
        <w:ind w:firstLine="480"/>
      </w:pPr>
      <w:r>
        <w:rPr>
          <w:rFonts w:hint="eastAsia"/>
        </w:rPr>
        <w:t>水土保持验收单位：武汉卫澜环保科技有限责任公司</w:t>
      </w:r>
    </w:p>
    <w:p>
      <w:pPr>
        <w:ind w:firstLine="480"/>
      </w:pPr>
      <w:r>
        <w:rPr>
          <w:rFonts w:hint="eastAsia"/>
        </w:rPr>
        <w:t>在工程建设过程中，本项目组织实施并完成的水土保持措施包括土地整治、临时排水沟、集水井沉沙池、景观绿化、土袋拦挡、彩条布覆盖等单元工程，经评定全部为合格。</w:t>
      </w:r>
    </w:p>
    <w:p>
      <w:pPr>
        <w:ind w:firstLine="480"/>
      </w:pPr>
      <w:r>
        <w:rPr>
          <w:rFonts w:hint="eastAsia"/>
        </w:rPr>
        <w:t>武汉楚天都市置业有限公司重视本工程建设过程中的水土保持工作，积极贯彻落实了《中华人民共和国水土保持法》及相关法法规及文件要求，并招标选择了有资质、有业绩的水土保持监测和验收评估单位，对监测和验收工作实行合同制管理，明确了各相关部门的责任。</w:t>
      </w:r>
    </w:p>
    <w:p>
      <w:pPr>
        <w:ind w:firstLine="480"/>
      </w:pPr>
      <w:r>
        <w:rPr>
          <w:rFonts w:hint="eastAsia"/>
        </w:rPr>
        <w:t>为了切实做好本项目水土流失防治工作，建设单位加强领导和组织管理，落实施工单位的水土流失防治责任；与地方水行政主管部门保持联系，积极配合其监督检查，确保水土保持工作落到实处。经查阅资料，本工程在建设过程中，基本按“三同时”的要求进行水土保持工程的建设，施工过程中，建设单位向各施工单位提出了文明施工和环境保护的相关要求，土建施工单位按照文明施工和水土保持的要求，采取了一些水土保持临时措施，规范了临时堆土的堆放范围，设置了临时排水沟、临时拦挡等措施。工程建设后期，实施了水土保持工程措施和植物措施，包括挡墙、排水沟、覆土、植树种草等，有效保障了主体工程安全和减轻了工程建设引起的水土流失。</w:t>
      </w:r>
    </w:p>
    <w:p>
      <w:pPr>
        <w:ind w:firstLine="480"/>
      </w:pPr>
      <w:r>
        <w:rPr>
          <w:rFonts w:hint="eastAsia"/>
        </w:rPr>
        <w:t>为了全面贯彻《中华人民共和国水土保持法》和相关法律法规，正确处理工程建设与水土保持的关系，做到工程建设过程中的水土保持工作有序进行，武汉楚天都市置业有限公司于 2014年4月委托南京和谐生态工程技术有限公司编制《楚天都市沁园建设项目水土保持方案》工作，于 2014年4月编制完成了《楚天都市沁园建设项目水土保持方案报告书（送审稿）》。2014年4月，武汉市洪山区水务局在武汉主持召开了《楚天都市沁园建设项目水土保持方案报告书（送审稿）》评审会，与会专家和代表听取了建设单位对工程基本情况的介绍和方案编制单位对《报告书》的汇报，经认真讨论和审查，认为本方案编制符合有关技术规范的规定和要求，同意通过评审，经补充、完善后可上报审批。现根据专家书面意见修改完善有关内容，南京和谐生态工程技术有限公司于2014年6月完成《楚天都市沁园建设项目水土保持方案报告书》报批稿，并获得批复（洪水/许水保准许201407023号）。</w:t>
      </w:r>
    </w:p>
    <w:p>
      <w:pPr>
        <w:ind w:firstLine="480"/>
      </w:pPr>
      <w:r>
        <w:rPr>
          <w:rFonts w:hint="eastAsia"/>
        </w:rPr>
        <w:t>武汉卫澜环保科技有限责任公司于2015年6月进场开展监测调查工作，签订合同后于2015年6月编制监测实施方案，确定了技术路线，监测内容和监测方法。</w:t>
      </w:r>
    </w:p>
    <w:p>
      <w:pPr>
        <w:ind w:firstLine="480"/>
      </w:pPr>
      <w:r>
        <w:rPr>
          <w:rFonts w:hint="eastAsia"/>
        </w:rPr>
        <w:t>监测内容按照施工准备期，施工期和林草恢复期分为不同的内容。</w:t>
      </w:r>
    </w:p>
    <w:p>
      <w:pPr>
        <w:ind w:firstLine="480"/>
      </w:pPr>
      <w:r>
        <w:rPr>
          <w:rFonts w:hint="eastAsia"/>
        </w:rPr>
        <w:t>武汉卫澜环保科技有限责任公司依照监测实施方案确定的监测内容执行，并根据后来建设实际情况对监测内容作了适当调整。</w:t>
      </w:r>
    </w:p>
    <w:p>
      <w:pPr>
        <w:ind w:firstLine="480"/>
      </w:pPr>
      <w:r>
        <w:rPr>
          <w:rFonts w:hint="eastAsia"/>
        </w:rPr>
        <w:t>我公司于2021年2月组织了相关技术人员成立了水土保持设施验收组，验收组走访了施工单位、监理单位等相关部门，听取各单位对工程建设情况的介绍，查阅了水土保持方案报告书、招标投标文件、施工组织设计、竣工验收技术报告和工作总结以及施工、监理报告和相关图片等资料，于2021年3月编写完成了《楚天都市沁园建设项目水土保持设施验收报告》。</w:t>
      </w:r>
    </w:p>
    <w:p>
      <w:pPr>
        <w:ind w:firstLine="480"/>
      </w:pPr>
      <w:r>
        <w:rPr>
          <w:rFonts w:hint="eastAsia"/>
        </w:rPr>
        <w:t>根据水土保持方案批复情况，各项目标值为：扰动土地整治率为97%，水土流失治理度为97%，水土流失控制比为1.1，拦渣率为95%，林草植被恢复率99%，林草覆盖度27%。目前已完成扰动土地整治率98.78%，水土流失治理度97.58%，水土流失控制比1.3，拦渣率96.08%，林草植被恢复率100%，林草覆盖度35.4%。工程完工后，水土保持设施运行正常、工程质量总体合格。通过对该工程的水土保持监测，项目区各时期水土流失量得到有效的控制，已实施水土保持措施运行稳定，效果显著。监测结果表明该工程已达到水土保持验收标准，可以组织竣工验收。</w:t>
      </w:r>
    </w:p>
    <w:p>
      <w:pPr>
        <w:ind w:firstLine="480"/>
      </w:pPr>
      <w:r>
        <w:rPr>
          <w:rFonts w:hint="eastAsia"/>
        </w:rPr>
        <w:t>在本报告编制过程中，得到施工单位、监理单位等相关单位的大力支持与协助，在此表示衷心的感谢！</w:t>
      </w:r>
    </w:p>
    <w:p>
      <w:pPr>
        <w:ind w:firstLine="480"/>
      </w:pPr>
    </w:p>
    <w:p>
      <w:pPr>
        <w:ind w:firstLine="480"/>
        <w:rPr>
          <w:rFonts w:cs="仿宋_GB2312"/>
        </w:rPr>
      </w:pPr>
    </w:p>
    <w:p>
      <w:pPr>
        <w:ind w:firstLine="480"/>
        <w:rPr>
          <w:rFonts w:cs="仿宋_GB2312"/>
        </w:rPr>
      </w:pPr>
    </w:p>
    <w:p>
      <w:pPr>
        <w:snapToGrid w:val="0"/>
        <w:spacing w:line="240" w:lineRule="auto"/>
        <w:ind w:firstLine="0" w:firstLineChars="0"/>
        <w:jc w:val="center"/>
        <w:rPr>
          <w:b/>
          <w:bCs/>
        </w:rPr>
        <w:sectPr>
          <w:headerReference r:id="rId9" w:type="default"/>
          <w:footerReference r:id="rId10" w:type="default"/>
          <w:pgSz w:w="11906" w:h="16838"/>
          <w:pgMar w:top="1587" w:right="1587" w:bottom="1587" w:left="1587" w:header="567" w:footer="567" w:gutter="0"/>
          <w:pgNumType w:start="1"/>
          <w:cols w:space="720" w:num="1"/>
          <w:docGrid w:type="lines" w:linePitch="312" w:charSpace="0"/>
        </w:sectPr>
      </w:pPr>
    </w:p>
    <w:p>
      <w:pPr>
        <w:snapToGrid w:val="0"/>
        <w:spacing w:line="240" w:lineRule="auto"/>
        <w:ind w:firstLine="0" w:firstLineChars="0"/>
        <w:jc w:val="center"/>
        <w:rPr>
          <w:b/>
          <w:bCs/>
        </w:rPr>
      </w:pPr>
      <w:r>
        <w:rPr>
          <w:rFonts w:hint="eastAsia"/>
          <w:b/>
          <w:bCs/>
        </w:rPr>
        <w:t>项目</w:t>
      </w:r>
      <w:r>
        <w:rPr>
          <w:b/>
          <w:bCs/>
        </w:rPr>
        <w:t>特性表</w:t>
      </w:r>
    </w:p>
    <w:tbl>
      <w:tblPr>
        <w:tblStyle w:val="23"/>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91"/>
        <w:gridCol w:w="235"/>
        <w:gridCol w:w="1280"/>
        <w:gridCol w:w="730"/>
        <w:gridCol w:w="401"/>
        <w:gridCol w:w="308"/>
        <w:gridCol w:w="709"/>
        <w:gridCol w:w="719"/>
        <w:gridCol w:w="135"/>
        <w:gridCol w:w="162"/>
        <w:gridCol w:w="912"/>
        <w:gridCol w:w="527"/>
        <w:gridCol w:w="96"/>
        <w:gridCol w:w="429"/>
        <w:gridCol w:w="280"/>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528" w:type="dxa"/>
            <w:gridSpan w:val="17"/>
            <w:vAlign w:val="center"/>
          </w:tcPr>
          <w:p>
            <w:pPr>
              <w:pStyle w:val="53"/>
            </w:pPr>
            <w:r>
              <w:t>主体工程主要技术指标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702" w:type="dxa"/>
            <w:gridSpan w:val="2"/>
            <w:vAlign w:val="center"/>
          </w:tcPr>
          <w:p>
            <w:pPr>
              <w:pStyle w:val="53"/>
            </w:pPr>
            <w:r>
              <w:t>项目名称</w:t>
            </w:r>
          </w:p>
        </w:tc>
        <w:tc>
          <w:tcPr>
            <w:tcW w:w="7826" w:type="dxa"/>
            <w:gridSpan w:val="15"/>
            <w:vAlign w:val="center"/>
          </w:tcPr>
          <w:p>
            <w:pPr>
              <w:pStyle w:val="53"/>
            </w:pPr>
            <w:r>
              <w:rPr>
                <w:rFonts w:hint="eastAsia"/>
              </w:rPr>
              <w:t>楚天都市沁园建设项目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exact"/>
          <w:jc w:val="center"/>
        </w:trPr>
        <w:tc>
          <w:tcPr>
            <w:tcW w:w="702" w:type="dxa"/>
            <w:gridSpan w:val="2"/>
            <w:vMerge w:val="restart"/>
            <w:vAlign w:val="center"/>
          </w:tcPr>
          <w:p>
            <w:pPr>
              <w:pStyle w:val="53"/>
            </w:pPr>
            <w:r>
              <w:t>建设规模</w:t>
            </w:r>
          </w:p>
        </w:tc>
        <w:tc>
          <w:tcPr>
            <w:tcW w:w="2646" w:type="dxa"/>
            <w:gridSpan w:val="4"/>
            <w:vMerge w:val="restart"/>
            <w:vAlign w:val="center"/>
          </w:tcPr>
          <w:p>
            <w:pPr>
              <w:pStyle w:val="53"/>
            </w:pPr>
            <w:r>
              <w:rPr>
                <w:rFonts w:hint="eastAsia"/>
              </w:rPr>
              <w:t>工程主要建设内容包括内容包括2栋45层的住宅楼；15栋27~32层的住宅楼；7栋24~26层的住宅楼；41栋3~4层的低密度住宅楼；3栋2~4层独立商业楼；一栋幼儿园为2、3层建筑物；地下设1层地下室，绿化景观，道路广场等沿建筑物周边合理布设。</w:t>
            </w:r>
          </w:p>
        </w:tc>
        <w:tc>
          <w:tcPr>
            <w:tcW w:w="2033" w:type="dxa"/>
            <w:gridSpan w:val="5"/>
            <w:vAlign w:val="center"/>
          </w:tcPr>
          <w:p>
            <w:pPr>
              <w:pStyle w:val="53"/>
            </w:pPr>
            <w:r>
              <w:t>建设单位、联系人</w:t>
            </w:r>
          </w:p>
        </w:tc>
        <w:tc>
          <w:tcPr>
            <w:tcW w:w="3147" w:type="dxa"/>
            <w:gridSpan w:val="6"/>
            <w:vAlign w:val="center"/>
          </w:tcPr>
          <w:p>
            <w:pPr>
              <w:pStyle w:val="53"/>
            </w:pPr>
            <w:r>
              <w:t>武汉楚天都市置业有限公司</w:t>
            </w:r>
          </w:p>
          <w:p>
            <w:pPr>
              <w:ind w:firstLine="420"/>
              <w:jc w:val="center"/>
            </w:pPr>
            <w:r>
              <w:rPr>
                <w:sz w:val="21"/>
                <w:szCs w:val="22"/>
              </w:rPr>
              <w:t>熊振宇13507180248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53"/>
            </w:pPr>
          </w:p>
        </w:tc>
        <w:tc>
          <w:tcPr>
            <w:tcW w:w="2646" w:type="dxa"/>
            <w:gridSpan w:val="4"/>
            <w:vMerge w:val="continue"/>
            <w:vAlign w:val="center"/>
          </w:tcPr>
          <w:p>
            <w:pPr>
              <w:pStyle w:val="53"/>
            </w:pPr>
          </w:p>
        </w:tc>
        <w:tc>
          <w:tcPr>
            <w:tcW w:w="2033" w:type="dxa"/>
            <w:gridSpan w:val="5"/>
            <w:vAlign w:val="center"/>
          </w:tcPr>
          <w:p>
            <w:pPr>
              <w:pStyle w:val="53"/>
            </w:pPr>
            <w:r>
              <w:t>建设地点</w:t>
            </w:r>
          </w:p>
        </w:tc>
        <w:tc>
          <w:tcPr>
            <w:tcW w:w="3147" w:type="dxa"/>
            <w:gridSpan w:val="6"/>
            <w:vAlign w:val="center"/>
          </w:tcPr>
          <w:p>
            <w:pPr>
              <w:pStyle w:val="53"/>
            </w:pPr>
            <w:r>
              <w:rPr>
                <w:rFonts w:hint="eastAsia"/>
              </w:rPr>
              <w:t>湖北省武汉市洪山区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53"/>
            </w:pPr>
          </w:p>
        </w:tc>
        <w:tc>
          <w:tcPr>
            <w:tcW w:w="2646" w:type="dxa"/>
            <w:gridSpan w:val="4"/>
            <w:vMerge w:val="continue"/>
            <w:vAlign w:val="center"/>
          </w:tcPr>
          <w:p>
            <w:pPr>
              <w:pStyle w:val="53"/>
            </w:pPr>
          </w:p>
        </w:tc>
        <w:tc>
          <w:tcPr>
            <w:tcW w:w="2033" w:type="dxa"/>
            <w:gridSpan w:val="5"/>
            <w:vAlign w:val="center"/>
          </w:tcPr>
          <w:p>
            <w:pPr>
              <w:pStyle w:val="53"/>
            </w:pPr>
            <w:r>
              <w:t>所属流域</w:t>
            </w:r>
          </w:p>
        </w:tc>
        <w:tc>
          <w:tcPr>
            <w:tcW w:w="3147" w:type="dxa"/>
            <w:gridSpan w:val="6"/>
            <w:vAlign w:val="center"/>
          </w:tcPr>
          <w:p>
            <w:pPr>
              <w:pStyle w:val="53"/>
            </w:pPr>
            <w:r>
              <w:rPr>
                <w:rFonts w:hint="eastAsia"/>
              </w:rPr>
              <w:t>长江</w:t>
            </w:r>
            <w:r>
              <w:t>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53"/>
            </w:pPr>
          </w:p>
        </w:tc>
        <w:tc>
          <w:tcPr>
            <w:tcW w:w="2646" w:type="dxa"/>
            <w:gridSpan w:val="4"/>
            <w:vMerge w:val="continue"/>
            <w:vAlign w:val="center"/>
          </w:tcPr>
          <w:p>
            <w:pPr>
              <w:pStyle w:val="53"/>
            </w:pPr>
          </w:p>
        </w:tc>
        <w:tc>
          <w:tcPr>
            <w:tcW w:w="2033" w:type="dxa"/>
            <w:gridSpan w:val="5"/>
            <w:vAlign w:val="center"/>
          </w:tcPr>
          <w:p>
            <w:pPr>
              <w:pStyle w:val="53"/>
            </w:pPr>
            <w:r>
              <w:t>工程总投资</w:t>
            </w:r>
          </w:p>
        </w:tc>
        <w:tc>
          <w:tcPr>
            <w:tcW w:w="3147" w:type="dxa"/>
            <w:gridSpan w:val="6"/>
            <w:vAlign w:val="center"/>
          </w:tcPr>
          <w:p>
            <w:pPr>
              <w:pStyle w:val="53"/>
            </w:pPr>
            <w:r>
              <w:rPr>
                <w:rFonts w:hint="eastAsia"/>
              </w:rPr>
              <w:t>271141.5万元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exact"/>
          <w:jc w:val="center"/>
        </w:trPr>
        <w:tc>
          <w:tcPr>
            <w:tcW w:w="702" w:type="dxa"/>
            <w:gridSpan w:val="2"/>
            <w:vMerge w:val="continue"/>
            <w:vAlign w:val="center"/>
          </w:tcPr>
          <w:p>
            <w:pPr>
              <w:pStyle w:val="53"/>
            </w:pPr>
          </w:p>
        </w:tc>
        <w:tc>
          <w:tcPr>
            <w:tcW w:w="2646" w:type="dxa"/>
            <w:gridSpan w:val="4"/>
            <w:vMerge w:val="continue"/>
            <w:vAlign w:val="center"/>
          </w:tcPr>
          <w:p>
            <w:pPr>
              <w:pStyle w:val="53"/>
            </w:pPr>
          </w:p>
        </w:tc>
        <w:tc>
          <w:tcPr>
            <w:tcW w:w="2033" w:type="dxa"/>
            <w:gridSpan w:val="5"/>
            <w:vAlign w:val="center"/>
          </w:tcPr>
          <w:p>
            <w:pPr>
              <w:pStyle w:val="53"/>
            </w:pPr>
            <w:r>
              <w:t>工程总工期</w:t>
            </w:r>
          </w:p>
        </w:tc>
        <w:tc>
          <w:tcPr>
            <w:tcW w:w="3147" w:type="dxa"/>
            <w:gridSpan w:val="6"/>
            <w:vAlign w:val="center"/>
          </w:tcPr>
          <w:p>
            <w:pPr>
              <w:pStyle w:val="53"/>
            </w:pPr>
            <w:r>
              <w:rPr>
                <w:rFonts w:hint="eastAsia"/>
              </w:rPr>
              <w:t>30个月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8528" w:type="dxa"/>
            <w:gridSpan w:val="17"/>
            <w:vAlign w:val="center"/>
          </w:tcPr>
          <w:p>
            <w:pPr>
              <w:pStyle w:val="53"/>
            </w:pPr>
            <w:r>
              <w:t>水土保持监测指标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2217" w:type="dxa"/>
            <w:gridSpan w:val="4"/>
            <w:vAlign w:val="center"/>
          </w:tcPr>
          <w:p>
            <w:pPr>
              <w:pStyle w:val="53"/>
            </w:pPr>
            <w:r>
              <w:t>监测单位</w:t>
            </w:r>
          </w:p>
        </w:tc>
        <w:tc>
          <w:tcPr>
            <w:tcW w:w="2867" w:type="dxa"/>
            <w:gridSpan w:val="5"/>
            <w:vAlign w:val="center"/>
          </w:tcPr>
          <w:p>
            <w:pPr>
              <w:pStyle w:val="53"/>
            </w:pPr>
            <w:r>
              <w:rPr>
                <w:rFonts w:hint="eastAsia"/>
                <w:lang w:val="zh-CN"/>
              </w:rPr>
              <w:t>武汉卫澜环保科技有限责任公司</w:t>
            </w:r>
          </w:p>
        </w:tc>
        <w:tc>
          <w:tcPr>
            <w:tcW w:w="1736" w:type="dxa"/>
            <w:gridSpan w:val="4"/>
            <w:vAlign w:val="center"/>
          </w:tcPr>
          <w:p>
            <w:pPr>
              <w:pStyle w:val="53"/>
            </w:pPr>
            <w:r>
              <w:t>联系人及电话</w:t>
            </w:r>
          </w:p>
        </w:tc>
        <w:tc>
          <w:tcPr>
            <w:tcW w:w="1708" w:type="dxa"/>
            <w:gridSpan w:val="4"/>
            <w:vAlign w:val="center"/>
          </w:tcPr>
          <w:p>
            <w:pPr>
              <w:pStyle w:val="53"/>
            </w:pPr>
            <w:r>
              <w:rPr>
                <w:rFonts w:hint="eastAsia"/>
              </w:rPr>
              <w:t>黄亮</w:t>
            </w:r>
          </w:p>
          <w:p>
            <w:pPr>
              <w:pStyle w:val="53"/>
            </w:pPr>
            <w:r>
              <w:rPr>
                <w:rFonts w:hint="eastAsia"/>
              </w:rPr>
              <w:t>13659875278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2217" w:type="dxa"/>
            <w:gridSpan w:val="4"/>
            <w:vAlign w:val="center"/>
          </w:tcPr>
          <w:p>
            <w:pPr>
              <w:pStyle w:val="53"/>
            </w:pPr>
            <w:r>
              <w:t>自然地理类型</w:t>
            </w:r>
          </w:p>
        </w:tc>
        <w:tc>
          <w:tcPr>
            <w:tcW w:w="2867" w:type="dxa"/>
            <w:gridSpan w:val="5"/>
            <w:vAlign w:val="center"/>
          </w:tcPr>
          <w:p>
            <w:pPr>
              <w:pStyle w:val="53"/>
            </w:pPr>
            <w:r>
              <w:rPr>
                <w:rFonts w:hint="eastAsia"/>
              </w:rPr>
              <w:t>平原区</w:t>
            </w:r>
          </w:p>
        </w:tc>
        <w:tc>
          <w:tcPr>
            <w:tcW w:w="1736" w:type="dxa"/>
            <w:gridSpan w:val="4"/>
            <w:vAlign w:val="center"/>
          </w:tcPr>
          <w:p>
            <w:pPr>
              <w:pStyle w:val="53"/>
            </w:pPr>
            <w:r>
              <w:t>防治标准</w:t>
            </w:r>
          </w:p>
        </w:tc>
        <w:tc>
          <w:tcPr>
            <w:tcW w:w="1708" w:type="dxa"/>
            <w:gridSpan w:val="4"/>
            <w:vAlign w:val="center"/>
          </w:tcPr>
          <w:p>
            <w:pPr>
              <w:pStyle w:val="53"/>
            </w:pPr>
            <w:r>
              <w:rPr>
                <w:rFonts w:hint="eastAsia"/>
              </w:rPr>
              <w:t>建设类一级标准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511" w:type="dxa"/>
            <w:vMerge w:val="restart"/>
            <w:vAlign w:val="center"/>
          </w:tcPr>
          <w:p>
            <w:pPr>
              <w:pStyle w:val="53"/>
            </w:pPr>
            <w:r>
              <w:t>监测内容</w:t>
            </w:r>
          </w:p>
        </w:tc>
        <w:tc>
          <w:tcPr>
            <w:tcW w:w="1706" w:type="dxa"/>
            <w:gridSpan w:val="3"/>
            <w:vAlign w:val="center"/>
          </w:tcPr>
          <w:p>
            <w:pPr>
              <w:pStyle w:val="53"/>
            </w:pPr>
            <w:r>
              <w:t>监测指标</w:t>
            </w:r>
          </w:p>
        </w:tc>
        <w:tc>
          <w:tcPr>
            <w:tcW w:w="2867" w:type="dxa"/>
            <w:gridSpan w:val="5"/>
            <w:vAlign w:val="center"/>
          </w:tcPr>
          <w:p>
            <w:pPr>
              <w:pStyle w:val="53"/>
            </w:pPr>
            <w:r>
              <w:t>监测方法（设施）</w:t>
            </w:r>
          </w:p>
        </w:tc>
        <w:tc>
          <w:tcPr>
            <w:tcW w:w="1736" w:type="dxa"/>
            <w:gridSpan w:val="4"/>
            <w:vAlign w:val="center"/>
          </w:tcPr>
          <w:p>
            <w:pPr>
              <w:pStyle w:val="53"/>
            </w:pPr>
            <w:r>
              <w:t>监测指标</w:t>
            </w:r>
          </w:p>
        </w:tc>
        <w:tc>
          <w:tcPr>
            <w:tcW w:w="1708" w:type="dxa"/>
            <w:gridSpan w:val="4"/>
            <w:vAlign w:val="center"/>
          </w:tcPr>
          <w:p>
            <w:pPr>
              <w:pStyle w:val="53"/>
            </w:pPr>
            <w:r>
              <w:t>监测方法（设施）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511" w:type="dxa"/>
            <w:vMerge w:val="continue"/>
            <w:vAlign w:val="center"/>
          </w:tcPr>
          <w:p>
            <w:pPr>
              <w:pStyle w:val="53"/>
            </w:pPr>
          </w:p>
        </w:tc>
        <w:tc>
          <w:tcPr>
            <w:tcW w:w="1706" w:type="dxa"/>
            <w:gridSpan w:val="3"/>
            <w:vAlign w:val="center"/>
          </w:tcPr>
          <w:p>
            <w:pPr>
              <w:pStyle w:val="53"/>
            </w:pPr>
            <w:r>
              <w:t>1.水土流失状况监测</w:t>
            </w:r>
          </w:p>
        </w:tc>
        <w:tc>
          <w:tcPr>
            <w:tcW w:w="2867" w:type="dxa"/>
            <w:gridSpan w:val="5"/>
            <w:vAlign w:val="center"/>
          </w:tcPr>
          <w:p>
            <w:pPr>
              <w:pStyle w:val="53"/>
              <w:rPr>
                <w:lang w:val="zh-CN"/>
              </w:rPr>
            </w:pPr>
            <w:r>
              <w:rPr>
                <w:lang w:val="zh-CN"/>
              </w:rPr>
              <w:t>沉沙池法、侵蚀沟量测法、</w:t>
            </w:r>
            <w:r>
              <w:t>测钎法</w:t>
            </w:r>
          </w:p>
        </w:tc>
        <w:tc>
          <w:tcPr>
            <w:tcW w:w="1736" w:type="dxa"/>
            <w:gridSpan w:val="4"/>
            <w:vAlign w:val="center"/>
          </w:tcPr>
          <w:p>
            <w:pPr>
              <w:pStyle w:val="53"/>
            </w:pPr>
            <w:r>
              <w:t>2.防治责任范围监测</w:t>
            </w:r>
          </w:p>
        </w:tc>
        <w:tc>
          <w:tcPr>
            <w:tcW w:w="1708" w:type="dxa"/>
            <w:gridSpan w:val="4"/>
            <w:vAlign w:val="center"/>
          </w:tcPr>
          <w:p>
            <w:pPr>
              <w:pStyle w:val="53"/>
            </w:pPr>
            <w:r>
              <w:rPr>
                <w:rFonts w:hint="eastAsia"/>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11" w:type="dxa"/>
            <w:vMerge w:val="continue"/>
            <w:vAlign w:val="center"/>
          </w:tcPr>
          <w:p>
            <w:pPr>
              <w:pStyle w:val="53"/>
            </w:pPr>
          </w:p>
        </w:tc>
        <w:tc>
          <w:tcPr>
            <w:tcW w:w="1706" w:type="dxa"/>
            <w:gridSpan w:val="3"/>
            <w:vAlign w:val="center"/>
          </w:tcPr>
          <w:p>
            <w:pPr>
              <w:pStyle w:val="53"/>
            </w:pPr>
            <w:r>
              <w:t>3.水土保持措施情况监测</w:t>
            </w:r>
          </w:p>
        </w:tc>
        <w:tc>
          <w:tcPr>
            <w:tcW w:w="2867" w:type="dxa"/>
            <w:gridSpan w:val="5"/>
            <w:vAlign w:val="center"/>
          </w:tcPr>
          <w:p>
            <w:pPr>
              <w:pStyle w:val="53"/>
            </w:pPr>
            <w:r>
              <w:rPr>
                <w:rFonts w:hint="eastAsia"/>
              </w:rPr>
              <w:t>调查监测法</w:t>
            </w:r>
          </w:p>
        </w:tc>
        <w:tc>
          <w:tcPr>
            <w:tcW w:w="1736" w:type="dxa"/>
            <w:gridSpan w:val="4"/>
            <w:vAlign w:val="center"/>
          </w:tcPr>
          <w:p>
            <w:pPr>
              <w:pStyle w:val="53"/>
            </w:pPr>
            <w:r>
              <w:t>4.防治措施效果监测</w:t>
            </w:r>
          </w:p>
        </w:tc>
        <w:tc>
          <w:tcPr>
            <w:tcW w:w="1708" w:type="dxa"/>
            <w:gridSpan w:val="4"/>
            <w:vAlign w:val="center"/>
          </w:tcPr>
          <w:p>
            <w:pPr>
              <w:pStyle w:val="53"/>
            </w:pPr>
            <w:r>
              <w:rPr>
                <w:rFonts w:hint="eastAsia"/>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511" w:type="dxa"/>
            <w:vMerge w:val="continue"/>
            <w:vAlign w:val="center"/>
          </w:tcPr>
          <w:p>
            <w:pPr>
              <w:pStyle w:val="53"/>
            </w:pPr>
          </w:p>
        </w:tc>
        <w:tc>
          <w:tcPr>
            <w:tcW w:w="1706" w:type="dxa"/>
            <w:gridSpan w:val="3"/>
            <w:vAlign w:val="center"/>
          </w:tcPr>
          <w:p>
            <w:pPr>
              <w:pStyle w:val="53"/>
            </w:pPr>
            <w:r>
              <w:t>5.水土流失危害监测</w:t>
            </w:r>
          </w:p>
        </w:tc>
        <w:tc>
          <w:tcPr>
            <w:tcW w:w="2867" w:type="dxa"/>
            <w:gridSpan w:val="5"/>
            <w:vAlign w:val="center"/>
          </w:tcPr>
          <w:p>
            <w:pPr>
              <w:pStyle w:val="53"/>
            </w:pPr>
            <w:r>
              <w:rPr>
                <w:rFonts w:hint="eastAsia"/>
              </w:rPr>
              <w:t>调查监测法</w:t>
            </w:r>
          </w:p>
        </w:tc>
        <w:tc>
          <w:tcPr>
            <w:tcW w:w="1736" w:type="dxa"/>
            <w:gridSpan w:val="4"/>
            <w:vAlign w:val="center"/>
          </w:tcPr>
          <w:p>
            <w:pPr>
              <w:pStyle w:val="53"/>
            </w:pPr>
            <w:r>
              <w:t>水土流失背景值</w:t>
            </w:r>
          </w:p>
        </w:tc>
        <w:tc>
          <w:tcPr>
            <w:tcW w:w="1708" w:type="dxa"/>
            <w:gridSpan w:val="4"/>
            <w:vAlign w:val="center"/>
          </w:tcPr>
          <w:p>
            <w:pPr>
              <w:pStyle w:val="53"/>
              <w:rPr>
                <w:highlight w:val="yellow"/>
              </w:rPr>
            </w:pPr>
            <w:r>
              <w:rPr>
                <w:rFonts w:hint="eastAsia"/>
              </w:rPr>
              <w:t>504</w:t>
            </w:r>
            <w:r>
              <w:t>t/</w:t>
            </w:r>
            <w:r>
              <w:rPr>
                <w:rFonts w:hint="eastAsia"/>
              </w:rPr>
              <w:t>(</w:t>
            </w:r>
            <w: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2217" w:type="dxa"/>
            <w:gridSpan w:val="4"/>
            <w:vAlign w:val="center"/>
          </w:tcPr>
          <w:p>
            <w:pPr>
              <w:pStyle w:val="53"/>
            </w:pPr>
            <w:r>
              <w:t>方案设计防治责任</w:t>
            </w:r>
          </w:p>
          <w:p>
            <w:pPr>
              <w:pStyle w:val="53"/>
            </w:pPr>
            <w:r>
              <w:t>范围</w:t>
            </w:r>
          </w:p>
        </w:tc>
        <w:tc>
          <w:tcPr>
            <w:tcW w:w="2867" w:type="dxa"/>
            <w:gridSpan w:val="5"/>
            <w:vAlign w:val="center"/>
          </w:tcPr>
          <w:p>
            <w:pPr>
              <w:pStyle w:val="53"/>
            </w:pPr>
            <w:r>
              <w:rPr>
                <w:rFonts w:hint="eastAsia"/>
              </w:rPr>
              <w:t>19.91</w:t>
            </w:r>
            <w:r>
              <w:t>hm²</w:t>
            </w:r>
            <w:r>
              <w:rPr>
                <w:rFonts w:hint="eastAsia"/>
              </w:rPr>
              <w:t>（包含直接影响区）</w:t>
            </w:r>
          </w:p>
        </w:tc>
        <w:tc>
          <w:tcPr>
            <w:tcW w:w="1736" w:type="dxa"/>
            <w:gridSpan w:val="4"/>
            <w:vAlign w:val="center"/>
          </w:tcPr>
          <w:p>
            <w:pPr>
              <w:pStyle w:val="53"/>
            </w:pPr>
            <w:r>
              <w:t>容许土壤流失量</w:t>
            </w:r>
          </w:p>
        </w:tc>
        <w:tc>
          <w:tcPr>
            <w:tcW w:w="1708" w:type="dxa"/>
            <w:gridSpan w:val="4"/>
            <w:vAlign w:val="center"/>
          </w:tcPr>
          <w:p>
            <w:pPr>
              <w:pStyle w:val="53"/>
            </w:pPr>
            <w:r>
              <w:rPr>
                <w:rFonts w:hint="eastAsia"/>
              </w:rPr>
              <w:t>500</w:t>
            </w:r>
            <w:r>
              <w:t>t/</w:t>
            </w:r>
            <w:r>
              <w:rPr>
                <w:rFonts w:hint="eastAsia"/>
              </w:rPr>
              <w:t>(</w:t>
            </w:r>
            <w: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217" w:type="dxa"/>
            <w:gridSpan w:val="4"/>
            <w:vAlign w:val="center"/>
          </w:tcPr>
          <w:p>
            <w:pPr>
              <w:pStyle w:val="53"/>
            </w:pPr>
            <w:r>
              <w:t>水土保持投资</w:t>
            </w:r>
          </w:p>
        </w:tc>
        <w:tc>
          <w:tcPr>
            <w:tcW w:w="2867" w:type="dxa"/>
            <w:gridSpan w:val="5"/>
            <w:vAlign w:val="center"/>
          </w:tcPr>
          <w:p>
            <w:pPr>
              <w:pStyle w:val="53"/>
            </w:pPr>
            <w:r>
              <w:t>2173.93万元</w:t>
            </w:r>
          </w:p>
        </w:tc>
        <w:tc>
          <w:tcPr>
            <w:tcW w:w="1736" w:type="dxa"/>
            <w:gridSpan w:val="4"/>
            <w:vAlign w:val="center"/>
          </w:tcPr>
          <w:p>
            <w:pPr>
              <w:pStyle w:val="53"/>
            </w:pPr>
            <w:r>
              <w:t>水土流失目标值</w:t>
            </w:r>
          </w:p>
        </w:tc>
        <w:tc>
          <w:tcPr>
            <w:tcW w:w="1708" w:type="dxa"/>
            <w:gridSpan w:val="4"/>
            <w:vAlign w:val="center"/>
          </w:tcPr>
          <w:p>
            <w:pPr>
              <w:pStyle w:val="53"/>
            </w:pPr>
            <w:r>
              <w:rPr>
                <w:rFonts w:hint="eastAsia"/>
              </w:rPr>
              <w:t>400</w:t>
            </w:r>
            <w:r>
              <w:t>t/</w:t>
            </w:r>
            <w:r>
              <w:rPr>
                <w:rFonts w:hint="eastAsia"/>
              </w:rPr>
              <w:t>(</w:t>
            </w:r>
            <w: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Align w:val="center"/>
          </w:tcPr>
          <w:p>
            <w:pPr>
              <w:snapToGrid w:val="0"/>
              <w:ind w:right="-122" w:rightChars="-51" w:firstLine="420"/>
              <w:jc w:val="center"/>
              <w:rPr>
                <w:rFonts w:eastAsia="仿宋_GB2312"/>
                <w:bCs/>
                <w:sz w:val="21"/>
                <w:szCs w:val="21"/>
              </w:rPr>
            </w:pPr>
            <w:r>
              <w:rPr>
                <w:rFonts w:eastAsia="仿宋_GB2312"/>
                <w:bCs/>
                <w:sz w:val="21"/>
                <w:szCs w:val="21"/>
              </w:rPr>
              <w:t>防治措施</w:t>
            </w:r>
          </w:p>
        </w:tc>
        <w:tc>
          <w:tcPr>
            <w:tcW w:w="6311" w:type="dxa"/>
            <w:gridSpan w:val="13"/>
            <w:vAlign w:val="center"/>
          </w:tcPr>
          <w:p>
            <w:pPr>
              <w:pStyle w:val="53"/>
              <w:jc w:val="left"/>
            </w:pPr>
            <w:r>
              <w:rPr>
                <w:rFonts w:hint="eastAsia"/>
              </w:rPr>
              <w:t>东区：临时排水沟2680m，挖填方1658m</w:t>
            </w:r>
            <w:r>
              <w:rPr>
                <w:rFonts w:hint="eastAsia"/>
                <w:vertAlign w:val="superscript"/>
              </w:rPr>
              <w:t>3</w:t>
            </w:r>
            <w:r>
              <w:rPr>
                <w:rFonts w:hint="eastAsia"/>
              </w:rPr>
              <w:t>，砌砖499m</w:t>
            </w:r>
            <w:r>
              <w:rPr>
                <w:rFonts w:hint="eastAsia"/>
                <w:vertAlign w:val="superscript"/>
              </w:rPr>
              <w:t>3</w:t>
            </w:r>
            <w:r>
              <w:rPr>
                <w:rFonts w:hint="eastAsia"/>
              </w:rPr>
              <w:t>，水泥砂浆抹面（20mm厚）2992m</w:t>
            </w:r>
            <w:r>
              <w:rPr>
                <w:rFonts w:hint="eastAsia"/>
                <w:vertAlign w:val="superscript"/>
              </w:rPr>
              <w:t>2</w:t>
            </w:r>
            <w:r>
              <w:rPr>
                <w:rFonts w:hint="eastAsia"/>
              </w:rPr>
              <w:t>，C10素混凝土垫层247m</w:t>
            </w:r>
            <w:r>
              <w:rPr>
                <w:rFonts w:hint="eastAsia"/>
                <w:vertAlign w:val="superscript"/>
              </w:rPr>
              <w:t>3</w:t>
            </w:r>
            <w:r>
              <w:rPr>
                <w:rFonts w:hint="eastAsia"/>
              </w:rPr>
              <w:t>；临时砖砌沉沙池19个，挖填方133m</w:t>
            </w:r>
            <w:r>
              <w:rPr>
                <w:rFonts w:hint="eastAsia"/>
                <w:vertAlign w:val="superscript"/>
              </w:rPr>
              <w:t>3</w:t>
            </w:r>
            <w:r>
              <w:rPr>
                <w:rFonts w:hint="eastAsia"/>
              </w:rPr>
              <w:t>，砌砖50m</w:t>
            </w:r>
            <w:r>
              <w:rPr>
                <w:rFonts w:hint="eastAsia"/>
                <w:vertAlign w:val="superscript"/>
              </w:rPr>
              <w:t>3</w:t>
            </w:r>
            <w:r>
              <w:rPr>
                <w:rFonts w:hint="eastAsia"/>
              </w:rPr>
              <w:t>，水泥砂浆抹面（20mm厚）144m</w:t>
            </w:r>
            <w:r>
              <w:rPr>
                <w:rFonts w:hint="eastAsia"/>
                <w:vertAlign w:val="superscript"/>
              </w:rPr>
              <w:t>2</w:t>
            </w:r>
            <w:r>
              <w:rPr>
                <w:rFonts w:hint="eastAsia"/>
              </w:rPr>
              <w:t>，C10素混凝土垫层22m</w:t>
            </w:r>
            <w:r>
              <w:rPr>
                <w:rFonts w:hint="eastAsia"/>
                <w:vertAlign w:val="superscript"/>
              </w:rPr>
              <w:t>3</w:t>
            </w:r>
            <w:r>
              <w:rPr>
                <w:rFonts w:hint="eastAsia"/>
              </w:rPr>
              <w:t>；临时土袋拦挡470m</w:t>
            </w:r>
            <w:r>
              <w:rPr>
                <w:rFonts w:hint="eastAsia"/>
                <w:vertAlign w:val="superscript"/>
              </w:rPr>
              <w:t>3</w:t>
            </w:r>
            <w:r>
              <w:rPr>
                <w:rFonts w:hint="eastAsia"/>
              </w:rPr>
              <w:t>；临时覆盖42000m</w:t>
            </w:r>
            <w:r>
              <w:rPr>
                <w:rFonts w:hint="eastAsia"/>
                <w:vertAlign w:val="superscript"/>
              </w:rPr>
              <w:t>2</w:t>
            </w:r>
            <w:r>
              <w:rPr>
                <w:rFonts w:hint="eastAsia"/>
              </w:rPr>
              <w:t>；清除硬化层1420m</w:t>
            </w:r>
            <w:r>
              <w:rPr>
                <w:rFonts w:hint="eastAsia"/>
                <w:vertAlign w:val="superscript"/>
              </w:rPr>
              <w:t>3</w:t>
            </w:r>
            <w:r>
              <w:rPr>
                <w:rFonts w:hint="eastAsia"/>
              </w:rPr>
              <w:t>，土地平整10.62hm</w:t>
            </w:r>
            <w:r>
              <w:rPr>
                <w:rFonts w:hint="eastAsia"/>
                <w:vertAlign w:val="superscript"/>
              </w:rPr>
              <w:t>2</w:t>
            </w:r>
            <w:r>
              <w:rPr>
                <w:rFonts w:hint="eastAsia"/>
              </w:rPr>
              <w:t>。</w:t>
            </w:r>
          </w:p>
          <w:p>
            <w:pPr>
              <w:pStyle w:val="2"/>
              <w:ind w:firstLine="480"/>
            </w:pPr>
          </w:p>
          <w:p>
            <w:pPr>
              <w:pStyle w:val="53"/>
              <w:jc w:val="left"/>
            </w:pPr>
            <w:r>
              <w:rPr>
                <w:rFonts w:hint="eastAsia"/>
              </w:rPr>
              <w:t>西区：临时排水沟1170m，挖填方484m</w:t>
            </w:r>
            <w:r>
              <w:rPr>
                <w:rFonts w:hint="eastAsia"/>
                <w:vertAlign w:val="superscript"/>
              </w:rPr>
              <w:t>3</w:t>
            </w:r>
            <w:r>
              <w:rPr>
                <w:rFonts w:hint="eastAsia"/>
              </w:rPr>
              <w:t>，砌砖127m</w:t>
            </w:r>
            <w:r>
              <w:rPr>
                <w:rFonts w:hint="eastAsia"/>
                <w:vertAlign w:val="superscript"/>
              </w:rPr>
              <w:t>3</w:t>
            </w:r>
            <w:r>
              <w:rPr>
                <w:rFonts w:hint="eastAsia"/>
              </w:rPr>
              <w:t>，水泥砂浆抹面（20mm厚）763m</w:t>
            </w:r>
            <w:r>
              <w:rPr>
                <w:rFonts w:hint="eastAsia"/>
                <w:vertAlign w:val="superscript"/>
              </w:rPr>
              <w:t>2</w:t>
            </w:r>
            <w:r>
              <w:rPr>
                <w:rFonts w:hint="eastAsia"/>
              </w:rPr>
              <w:t>，C10素混凝土垫层63m</w:t>
            </w:r>
            <w:r>
              <w:rPr>
                <w:rFonts w:hint="eastAsia"/>
                <w:vertAlign w:val="superscript"/>
              </w:rPr>
              <w:t>3</w:t>
            </w:r>
            <w:r>
              <w:rPr>
                <w:rFonts w:hint="eastAsia"/>
              </w:rPr>
              <w:t>；临时砖砌沉沙池7个，挖填方49m</w:t>
            </w:r>
            <w:r>
              <w:rPr>
                <w:rFonts w:hint="eastAsia"/>
                <w:vertAlign w:val="superscript"/>
              </w:rPr>
              <w:t>3</w:t>
            </w:r>
            <w:r>
              <w:rPr>
                <w:rFonts w:hint="eastAsia"/>
              </w:rPr>
              <w:t>，砌砖19m</w:t>
            </w:r>
            <w:r>
              <w:rPr>
                <w:rFonts w:hint="eastAsia"/>
                <w:vertAlign w:val="superscript"/>
              </w:rPr>
              <w:t>3</w:t>
            </w:r>
            <w:r>
              <w:rPr>
                <w:rFonts w:hint="eastAsia"/>
              </w:rPr>
              <w:t>，水泥砂浆抹面（20mm厚）42m</w:t>
            </w:r>
            <w:r>
              <w:rPr>
                <w:rFonts w:hint="eastAsia"/>
                <w:vertAlign w:val="superscript"/>
              </w:rPr>
              <w:t>2</w:t>
            </w:r>
            <w:r>
              <w:rPr>
                <w:rFonts w:hint="eastAsia"/>
              </w:rPr>
              <w:t>，C10素混凝土垫层8m</w:t>
            </w:r>
            <w:r>
              <w:rPr>
                <w:rFonts w:hint="eastAsia"/>
                <w:vertAlign w:val="superscript"/>
              </w:rPr>
              <w:t>3</w:t>
            </w:r>
            <w:r>
              <w:rPr>
                <w:rFonts w:hint="eastAsia"/>
              </w:rPr>
              <w:t>；临时土袋拦挡340m</w:t>
            </w:r>
            <w:r>
              <w:rPr>
                <w:rFonts w:hint="eastAsia"/>
                <w:vertAlign w:val="superscript"/>
              </w:rPr>
              <w:t>3</w:t>
            </w:r>
            <w:r>
              <w:rPr>
                <w:rFonts w:hint="eastAsia"/>
              </w:rPr>
              <w:t>；临时覆盖22600m</w:t>
            </w:r>
            <w:r>
              <w:rPr>
                <w:rFonts w:hint="eastAsia"/>
                <w:vertAlign w:val="superscript"/>
              </w:rPr>
              <w:t>2</w:t>
            </w:r>
            <w:r>
              <w:rPr>
                <w:rFonts w:hint="eastAsia"/>
              </w:rPr>
              <w:t>；清除硬化层840m</w:t>
            </w:r>
            <w:r>
              <w:rPr>
                <w:rFonts w:hint="eastAsia"/>
                <w:vertAlign w:val="superscript"/>
              </w:rPr>
              <w:t>3</w:t>
            </w:r>
            <w:r>
              <w:rPr>
                <w:rFonts w:hint="eastAsia"/>
              </w:rPr>
              <w:t>，土地平整3.89hm</w:t>
            </w:r>
            <w:r>
              <w:rPr>
                <w:rFonts w:hint="eastAsia"/>
                <w:vertAlign w:val="superscript"/>
              </w:rPr>
              <w:t>2</w:t>
            </w:r>
            <w:r>
              <w:rPr>
                <w:rFonts w:hint="eastAsia"/>
              </w:rPr>
              <w:t>。</w:t>
            </w:r>
          </w:p>
          <w:p>
            <w:pPr>
              <w:pStyle w:val="2"/>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11" w:type="dxa"/>
            <w:vMerge w:val="restart"/>
            <w:vAlign w:val="center"/>
          </w:tcPr>
          <w:p>
            <w:pPr>
              <w:pStyle w:val="53"/>
            </w:pPr>
            <w:r>
              <w:t>监测结论</w:t>
            </w:r>
          </w:p>
        </w:tc>
        <w:tc>
          <w:tcPr>
            <w:tcW w:w="426" w:type="dxa"/>
            <w:gridSpan w:val="2"/>
            <w:vMerge w:val="restart"/>
            <w:vAlign w:val="center"/>
          </w:tcPr>
          <w:p>
            <w:pPr>
              <w:pStyle w:val="53"/>
            </w:pPr>
            <w:r>
              <w:t>防治效果</w:t>
            </w:r>
          </w:p>
        </w:tc>
        <w:tc>
          <w:tcPr>
            <w:tcW w:w="1280" w:type="dxa"/>
            <w:vAlign w:val="center"/>
          </w:tcPr>
          <w:p>
            <w:pPr>
              <w:pStyle w:val="53"/>
            </w:pPr>
            <w:r>
              <w:t>分类指标</w:t>
            </w:r>
          </w:p>
        </w:tc>
        <w:tc>
          <w:tcPr>
            <w:tcW w:w="730" w:type="dxa"/>
            <w:vAlign w:val="center"/>
          </w:tcPr>
          <w:p>
            <w:pPr>
              <w:pStyle w:val="53"/>
            </w:pPr>
            <w:r>
              <w:t>目标值</w:t>
            </w:r>
          </w:p>
        </w:tc>
        <w:tc>
          <w:tcPr>
            <w:tcW w:w="709" w:type="dxa"/>
            <w:gridSpan w:val="2"/>
            <w:vAlign w:val="center"/>
          </w:tcPr>
          <w:p>
            <w:pPr>
              <w:pStyle w:val="53"/>
            </w:pPr>
            <w:r>
              <w:t>达到值</w:t>
            </w:r>
          </w:p>
        </w:tc>
        <w:tc>
          <w:tcPr>
            <w:tcW w:w="4872" w:type="dxa"/>
            <w:gridSpan w:val="10"/>
            <w:vAlign w:val="center"/>
          </w:tcPr>
          <w:p>
            <w:pPr>
              <w:pStyle w:val="53"/>
            </w:pPr>
            <w:r>
              <w:t>实际监测数量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53"/>
            </w:pPr>
          </w:p>
        </w:tc>
        <w:tc>
          <w:tcPr>
            <w:tcW w:w="426" w:type="dxa"/>
            <w:gridSpan w:val="2"/>
            <w:vMerge w:val="continue"/>
            <w:vAlign w:val="center"/>
          </w:tcPr>
          <w:p>
            <w:pPr>
              <w:pStyle w:val="53"/>
            </w:pPr>
          </w:p>
        </w:tc>
        <w:tc>
          <w:tcPr>
            <w:tcW w:w="1280" w:type="dxa"/>
            <w:vAlign w:val="center"/>
          </w:tcPr>
          <w:p>
            <w:pPr>
              <w:pStyle w:val="53"/>
            </w:pPr>
            <w:r>
              <w:t>扰动土地整治率</w:t>
            </w:r>
            <w:r>
              <w:rPr>
                <w:rFonts w:hint="eastAsia"/>
              </w:rPr>
              <w:t>（%）</w:t>
            </w:r>
          </w:p>
        </w:tc>
        <w:tc>
          <w:tcPr>
            <w:tcW w:w="730" w:type="dxa"/>
            <w:vAlign w:val="center"/>
          </w:tcPr>
          <w:p>
            <w:pPr>
              <w:pStyle w:val="53"/>
            </w:pPr>
            <w:r>
              <w:rPr>
                <w:rFonts w:hint="eastAsia"/>
              </w:rPr>
              <w:t>97</w:t>
            </w:r>
          </w:p>
        </w:tc>
        <w:tc>
          <w:tcPr>
            <w:tcW w:w="709" w:type="dxa"/>
            <w:gridSpan w:val="2"/>
            <w:vAlign w:val="center"/>
          </w:tcPr>
          <w:p>
            <w:pPr>
              <w:pStyle w:val="53"/>
            </w:pPr>
            <w:r>
              <w:rPr>
                <w:rFonts w:hint="eastAsia"/>
              </w:rPr>
              <w:t>98.78</w:t>
            </w:r>
          </w:p>
        </w:tc>
        <w:tc>
          <w:tcPr>
            <w:tcW w:w="709" w:type="dxa"/>
            <w:vAlign w:val="center"/>
          </w:tcPr>
          <w:p>
            <w:pPr>
              <w:pStyle w:val="53"/>
            </w:pPr>
            <w:r>
              <w:t>防治措施面积</w:t>
            </w:r>
          </w:p>
        </w:tc>
        <w:tc>
          <w:tcPr>
            <w:tcW w:w="854" w:type="dxa"/>
            <w:gridSpan w:val="2"/>
            <w:vAlign w:val="center"/>
          </w:tcPr>
          <w:p>
            <w:pPr>
              <w:pStyle w:val="53"/>
            </w:pPr>
            <w:r>
              <w:rPr>
                <w:rFonts w:hint="eastAsia"/>
              </w:rPr>
              <w:t>18.15</w:t>
            </w:r>
          </w:p>
          <w:p>
            <w:pPr>
              <w:pStyle w:val="53"/>
            </w:pPr>
            <w:r>
              <w:t>hm²</w:t>
            </w:r>
          </w:p>
        </w:tc>
        <w:tc>
          <w:tcPr>
            <w:tcW w:w="1074" w:type="dxa"/>
            <w:gridSpan w:val="2"/>
            <w:vAlign w:val="center"/>
          </w:tcPr>
          <w:p>
            <w:pPr>
              <w:pStyle w:val="53"/>
            </w:pPr>
            <w:r>
              <w:t>永久建筑物及硬化面积</w:t>
            </w:r>
          </w:p>
        </w:tc>
        <w:tc>
          <w:tcPr>
            <w:tcW w:w="623" w:type="dxa"/>
            <w:gridSpan w:val="2"/>
            <w:vAlign w:val="center"/>
          </w:tcPr>
          <w:p>
            <w:pPr>
              <w:pStyle w:val="53"/>
            </w:pPr>
            <w:r>
              <w:rPr>
                <w:rFonts w:hint="eastAsia"/>
              </w:rPr>
              <w:t>0.22</w:t>
            </w:r>
          </w:p>
          <w:p>
            <w:pPr>
              <w:pStyle w:val="53"/>
            </w:pPr>
            <w:r>
              <w:t>hm²</w:t>
            </w:r>
          </w:p>
        </w:tc>
        <w:tc>
          <w:tcPr>
            <w:tcW w:w="709" w:type="dxa"/>
            <w:gridSpan w:val="2"/>
            <w:vAlign w:val="center"/>
          </w:tcPr>
          <w:p>
            <w:pPr>
              <w:pStyle w:val="53"/>
            </w:pPr>
            <w:r>
              <w:t>扰动土地总面积</w:t>
            </w:r>
          </w:p>
        </w:tc>
        <w:tc>
          <w:tcPr>
            <w:tcW w:w="903" w:type="dxa"/>
            <w:vAlign w:val="center"/>
          </w:tcPr>
          <w:p>
            <w:pPr>
              <w:pStyle w:val="53"/>
            </w:pPr>
            <w:r>
              <w:rPr>
                <w:rFonts w:hint="eastAsia"/>
              </w:rPr>
              <w:t>18.60</w:t>
            </w:r>
          </w:p>
          <w:p>
            <w:pPr>
              <w:pStyle w:val="53"/>
            </w:pPr>
            <w: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53"/>
            </w:pPr>
          </w:p>
        </w:tc>
        <w:tc>
          <w:tcPr>
            <w:tcW w:w="426" w:type="dxa"/>
            <w:gridSpan w:val="2"/>
            <w:vMerge w:val="continue"/>
            <w:vAlign w:val="center"/>
          </w:tcPr>
          <w:p>
            <w:pPr>
              <w:pStyle w:val="53"/>
            </w:pPr>
          </w:p>
        </w:tc>
        <w:tc>
          <w:tcPr>
            <w:tcW w:w="1280" w:type="dxa"/>
            <w:vAlign w:val="center"/>
          </w:tcPr>
          <w:p>
            <w:pPr>
              <w:pStyle w:val="53"/>
            </w:pPr>
            <w:r>
              <w:t>水土流失总治理度</w:t>
            </w:r>
            <w:r>
              <w:rPr>
                <w:rFonts w:hint="eastAsia"/>
              </w:rPr>
              <w:t>（%）</w:t>
            </w:r>
          </w:p>
        </w:tc>
        <w:tc>
          <w:tcPr>
            <w:tcW w:w="730" w:type="dxa"/>
            <w:vAlign w:val="center"/>
          </w:tcPr>
          <w:p>
            <w:pPr>
              <w:pStyle w:val="53"/>
            </w:pPr>
            <w:r>
              <w:t>9</w:t>
            </w:r>
            <w:r>
              <w:rPr>
                <w:rFonts w:hint="eastAsia"/>
              </w:rPr>
              <w:t>7</w:t>
            </w:r>
          </w:p>
        </w:tc>
        <w:tc>
          <w:tcPr>
            <w:tcW w:w="709" w:type="dxa"/>
            <w:gridSpan w:val="2"/>
            <w:vAlign w:val="center"/>
          </w:tcPr>
          <w:p>
            <w:pPr>
              <w:pStyle w:val="53"/>
            </w:pPr>
            <w:r>
              <w:rPr>
                <w:rFonts w:hint="eastAsia"/>
              </w:rPr>
              <w:t>97.58</w:t>
            </w:r>
          </w:p>
        </w:tc>
        <w:tc>
          <w:tcPr>
            <w:tcW w:w="1563" w:type="dxa"/>
            <w:gridSpan w:val="3"/>
            <w:vAlign w:val="center"/>
          </w:tcPr>
          <w:p>
            <w:pPr>
              <w:pStyle w:val="53"/>
            </w:pPr>
            <w:r>
              <w:t>水保措施面积</w:t>
            </w:r>
          </w:p>
        </w:tc>
        <w:tc>
          <w:tcPr>
            <w:tcW w:w="1074" w:type="dxa"/>
            <w:gridSpan w:val="2"/>
            <w:vAlign w:val="center"/>
          </w:tcPr>
          <w:p>
            <w:pPr>
              <w:pStyle w:val="53"/>
            </w:pPr>
            <w:r>
              <w:rPr>
                <w:rFonts w:hint="eastAsia"/>
              </w:rPr>
              <w:t>18.15</w:t>
            </w:r>
            <w:r>
              <w:t>hm²</w:t>
            </w:r>
          </w:p>
        </w:tc>
        <w:tc>
          <w:tcPr>
            <w:tcW w:w="1052" w:type="dxa"/>
            <w:gridSpan w:val="3"/>
            <w:vAlign w:val="center"/>
          </w:tcPr>
          <w:p>
            <w:pPr>
              <w:pStyle w:val="53"/>
            </w:pPr>
            <w:r>
              <w:t>水土流失总面积</w:t>
            </w:r>
          </w:p>
        </w:tc>
        <w:tc>
          <w:tcPr>
            <w:tcW w:w="1183" w:type="dxa"/>
            <w:gridSpan w:val="2"/>
            <w:vAlign w:val="center"/>
          </w:tcPr>
          <w:p>
            <w:pPr>
              <w:pStyle w:val="53"/>
            </w:pPr>
            <w:r>
              <w:rPr>
                <w:rFonts w:hint="eastAsia"/>
              </w:rPr>
              <w:t>18.60</w:t>
            </w:r>
            <w: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11" w:type="dxa"/>
            <w:vMerge w:val="continue"/>
            <w:vAlign w:val="center"/>
          </w:tcPr>
          <w:p>
            <w:pPr>
              <w:pStyle w:val="53"/>
            </w:pPr>
          </w:p>
        </w:tc>
        <w:tc>
          <w:tcPr>
            <w:tcW w:w="426" w:type="dxa"/>
            <w:gridSpan w:val="2"/>
            <w:vMerge w:val="continue"/>
            <w:vAlign w:val="center"/>
          </w:tcPr>
          <w:p>
            <w:pPr>
              <w:pStyle w:val="53"/>
            </w:pPr>
          </w:p>
        </w:tc>
        <w:tc>
          <w:tcPr>
            <w:tcW w:w="1280" w:type="dxa"/>
            <w:vAlign w:val="center"/>
          </w:tcPr>
          <w:p>
            <w:pPr>
              <w:pStyle w:val="53"/>
            </w:pPr>
            <w:r>
              <w:t>土壤流失控制比</w:t>
            </w:r>
          </w:p>
        </w:tc>
        <w:tc>
          <w:tcPr>
            <w:tcW w:w="730" w:type="dxa"/>
            <w:vAlign w:val="center"/>
          </w:tcPr>
          <w:p>
            <w:pPr>
              <w:pStyle w:val="53"/>
            </w:pPr>
            <w:r>
              <w:t>1.</w:t>
            </w:r>
            <w:r>
              <w:rPr>
                <w:rFonts w:hint="eastAsia"/>
              </w:rPr>
              <w:t>1</w:t>
            </w:r>
          </w:p>
        </w:tc>
        <w:tc>
          <w:tcPr>
            <w:tcW w:w="709" w:type="dxa"/>
            <w:gridSpan w:val="2"/>
            <w:vAlign w:val="center"/>
          </w:tcPr>
          <w:p>
            <w:pPr>
              <w:pStyle w:val="53"/>
            </w:pPr>
            <w:r>
              <w:rPr>
                <w:rFonts w:hint="eastAsia"/>
              </w:rPr>
              <w:t>1.3</w:t>
            </w:r>
          </w:p>
        </w:tc>
        <w:tc>
          <w:tcPr>
            <w:tcW w:w="1563" w:type="dxa"/>
            <w:gridSpan w:val="3"/>
            <w:vAlign w:val="center"/>
          </w:tcPr>
          <w:p>
            <w:pPr>
              <w:pStyle w:val="53"/>
            </w:pPr>
            <w:r>
              <w:t>工程措施面积</w:t>
            </w:r>
          </w:p>
        </w:tc>
        <w:tc>
          <w:tcPr>
            <w:tcW w:w="1074" w:type="dxa"/>
            <w:gridSpan w:val="2"/>
            <w:vAlign w:val="center"/>
          </w:tcPr>
          <w:p>
            <w:pPr>
              <w:pStyle w:val="53"/>
            </w:pPr>
            <w:r>
              <w:rPr>
                <w:rFonts w:hint="eastAsia"/>
              </w:rPr>
              <w:t>11.57</w:t>
            </w:r>
            <w:r>
              <w:t>hm²</w:t>
            </w:r>
          </w:p>
        </w:tc>
        <w:tc>
          <w:tcPr>
            <w:tcW w:w="1052" w:type="dxa"/>
            <w:gridSpan w:val="3"/>
            <w:vAlign w:val="center"/>
          </w:tcPr>
          <w:p>
            <w:pPr>
              <w:pStyle w:val="53"/>
            </w:pPr>
            <w:r>
              <w:t>容许土壤流失量</w:t>
            </w:r>
          </w:p>
        </w:tc>
        <w:tc>
          <w:tcPr>
            <w:tcW w:w="1183" w:type="dxa"/>
            <w:gridSpan w:val="2"/>
            <w:vAlign w:val="center"/>
          </w:tcPr>
          <w:p>
            <w:pPr>
              <w:pStyle w:val="53"/>
            </w:pPr>
            <w:r>
              <w:rPr>
                <w:rFonts w:hint="eastAsia"/>
              </w:rPr>
              <w:t>50</w:t>
            </w:r>
            <w:r>
              <w:t>0t/</w:t>
            </w:r>
            <w:r>
              <w:rPr>
                <w:rFonts w:hint="eastAsia"/>
              </w:rPr>
              <w:t>(</w:t>
            </w:r>
            <w: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53"/>
            </w:pPr>
          </w:p>
        </w:tc>
        <w:tc>
          <w:tcPr>
            <w:tcW w:w="426" w:type="dxa"/>
            <w:gridSpan w:val="2"/>
            <w:vMerge w:val="continue"/>
            <w:vAlign w:val="center"/>
          </w:tcPr>
          <w:p>
            <w:pPr>
              <w:pStyle w:val="53"/>
            </w:pPr>
          </w:p>
        </w:tc>
        <w:tc>
          <w:tcPr>
            <w:tcW w:w="1280" w:type="dxa"/>
            <w:vAlign w:val="center"/>
          </w:tcPr>
          <w:p>
            <w:pPr>
              <w:pStyle w:val="53"/>
            </w:pPr>
            <w:r>
              <w:t>林草覆盖率</w:t>
            </w:r>
            <w:r>
              <w:rPr>
                <w:rFonts w:hint="eastAsia"/>
              </w:rPr>
              <w:t>（%）</w:t>
            </w:r>
          </w:p>
        </w:tc>
        <w:tc>
          <w:tcPr>
            <w:tcW w:w="730" w:type="dxa"/>
            <w:vAlign w:val="center"/>
          </w:tcPr>
          <w:p>
            <w:pPr>
              <w:pStyle w:val="53"/>
            </w:pPr>
            <w:r>
              <w:t>2</w:t>
            </w:r>
            <w:r>
              <w:rPr>
                <w:rFonts w:hint="eastAsia"/>
              </w:rPr>
              <w:t>7</w:t>
            </w:r>
          </w:p>
        </w:tc>
        <w:tc>
          <w:tcPr>
            <w:tcW w:w="709" w:type="dxa"/>
            <w:gridSpan w:val="2"/>
            <w:vAlign w:val="center"/>
          </w:tcPr>
          <w:p>
            <w:pPr>
              <w:pStyle w:val="53"/>
            </w:pPr>
            <w:r>
              <w:rPr>
                <w:rFonts w:hint="eastAsia"/>
              </w:rPr>
              <w:t>35.4</w:t>
            </w:r>
          </w:p>
        </w:tc>
        <w:tc>
          <w:tcPr>
            <w:tcW w:w="1563" w:type="dxa"/>
            <w:gridSpan w:val="3"/>
            <w:vAlign w:val="center"/>
          </w:tcPr>
          <w:p>
            <w:pPr>
              <w:pStyle w:val="53"/>
            </w:pPr>
            <w:r>
              <w:t>植物措施面积</w:t>
            </w:r>
          </w:p>
        </w:tc>
        <w:tc>
          <w:tcPr>
            <w:tcW w:w="1074" w:type="dxa"/>
            <w:gridSpan w:val="2"/>
            <w:vAlign w:val="center"/>
          </w:tcPr>
          <w:p>
            <w:pPr>
              <w:pStyle w:val="53"/>
            </w:pPr>
            <w:r>
              <w:rPr>
                <w:rFonts w:hint="eastAsia"/>
              </w:rPr>
              <w:t>6.58</w:t>
            </w:r>
            <w:r>
              <w:t>hm²</w:t>
            </w:r>
          </w:p>
        </w:tc>
        <w:tc>
          <w:tcPr>
            <w:tcW w:w="1052" w:type="dxa"/>
            <w:gridSpan w:val="3"/>
            <w:vAlign w:val="center"/>
          </w:tcPr>
          <w:p>
            <w:pPr>
              <w:pStyle w:val="53"/>
            </w:pPr>
            <w:r>
              <w:t>监测土壤流失情况</w:t>
            </w:r>
          </w:p>
        </w:tc>
        <w:tc>
          <w:tcPr>
            <w:tcW w:w="1183" w:type="dxa"/>
            <w:gridSpan w:val="2"/>
            <w:vAlign w:val="center"/>
          </w:tcPr>
          <w:p>
            <w:pPr>
              <w:pStyle w:val="53"/>
            </w:pPr>
            <w:r>
              <w:rPr>
                <w:rFonts w:hint="eastAsia"/>
              </w:rPr>
              <w:t>400</w:t>
            </w:r>
            <w:r>
              <w:t>t/</w:t>
            </w:r>
            <w:r>
              <w:rPr>
                <w:rFonts w:hint="eastAsia"/>
              </w:rPr>
              <w:t>(</w:t>
            </w:r>
            <w: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53"/>
            </w:pPr>
          </w:p>
        </w:tc>
        <w:tc>
          <w:tcPr>
            <w:tcW w:w="426" w:type="dxa"/>
            <w:gridSpan w:val="2"/>
            <w:vMerge w:val="continue"/>
            <w:vAlign w:val="center"/>
          </w:tcPr>
          <w:p>
            <w:pPr>
              <w:pStyle w:val="53"/>
            </w:pPr>
          </w:p>
        </w:tc>
        <w:tc>
          <w:tcPr>
            <w:tcW w:w="1280" w:type="dxa"/>
            <w:vAlign w:val="center"/>
          </w:tcPr>
          <w:p>
            <w:pPr>
              <w:pStyle w:val="53"/>
            </w:pPr>
            <w:r>
              <w:t>林草植被恢复率</w:t>
            </w:r>
            <w:r>
              <w:rPr>
                <w:rFonts w:hint="eastAsia"/>
              </w:rPr>
              <w:t>（%）</w:t>
            </w:r>
          </w:p>
        </w:tc>
        <w:tc>
          <w:tcPr>
            <w:tcW w:w="730" w:type="dxa"/>
            <w:vAlign w:val="center"/>
          </w:tcPr>
          <w:p>
            <w:pPr>
              <w:pStyle w:val="53"/>
            </w:pPr>
            <w:r>
              <w:t>99</w:t>
            </w:r>
          </w:p>
        </w:tc>
        <w:tc>
          <w:tcPr>
            <w:tcW w:w="709" w:type="dxa"/>
            <w:gridSpan w:val="2"/>
            <w:vAlign w:val="center"/>
          </w:tcPr>
          <w:p>
            <w:pPr>
              <w:pStyle w:val="53"/>
            </w:pPr>
            <w:r>
              <w:rPr>
                <w:rFonts w:hint="eastAsia"/>
              </w:rPr>
              <w:t>100</w:t>
            </w:r>
          </w:p>
        </w:tc>
        <w:tc>
          <w:tcPr>
            <w:tcW w:w="1563" w:type="dxa"/>
            <w:gridSpan w:val="3"/>
            <w:vAlign w:val="center"/>
          </w:tcPr>
          <w:p>
            <w:pPr>
              <w:pStyle w:val="53"/>
            </w:pPr>
            <w:r>
              <w:t>可恢复林草</w:t>
            </w:r>
          </w:p>
          <w:p>
            <w:pPr>
              <w:pStyle w:val="53"/>
            </w:pPr>
            <w:r>
              <w:t>植被面积</w:t>
            </w:r>
          </w:p>
        </w:tc>
        <w:tc>
          <w:tcPr>
            <w:tcW w:w="1074" w:type="dxa"/>
            <w:gridSpan w:val="2"/>
            <w:vAlign w:val="center"/>
          </w:tcPr>
          <w:p>
            <w:pPr>
              <w:pStyle w:val="53"/>
            </w:pPr>
            <w:r>
              <w:rPr>
                <w:rFonts w:hint="eastAsia"/>
              </w:rPr>
              <w:t>6.58</w:t>
            </w:r>
            <w:r>
              <w:t>hm²</w:t>
            </w:r>
          </w:p>
        </w:tc>
        <w:tc>
          <w:tcPr>
            <w:tcW w:w="1052" w:type="dxa"/>
            <w:gridSpan w:val="3"/>
            <w:vAlign w:val="center"/>
          </w:tcPr>
          <w:p>
            <w:pPr>
              <w:pStyle w:val="53"/>
            </w:pPr>
            <w:r>
              <w:t>林草类植被面积</w:t>
            </w:r>
          </w:p>
        </w:tc>
        <w:tc>
          <w:tcPr>
            <w:tcW w:w="1183" w:type="dxa"/>
            <w:gridSpan w:val="2"/>
            <w:vAlign w:val="center"/>
          </w:tcPr>
          <w:p>
            <w:pPr>
              <w:pStyle w:val="53"/>
            </w:pPr>
            <w:r>
              <w:rPr>
                <w:rFonts w:hint="eastAsia"/>
              </w:rPr>
              <w:t>6.58</w:t>
            </w:r>
            <w: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53"/>
            </w:pPr>
          </w:p>
        </w:tc>
        <w:tc>
          <w:tcPr>
            <w:tcW w:w="426" w:type="dxa"/>
            <w:gridSpan w:val="2"/>
            <w:vMerge w:val="continue"/>
            <w:vAlign w:val="center"/>
          </w:tcPr>
          <w:p>
            <w:pPr>
              <w:pStyle w:val="53"/>
            </w:pPr>
          </w:p>
        </w:tc>
        <w:tc>
          <w:tcPr>
            <w:tcW w:w="1280" w:type="dxa"/>
            <w:vAlign w:val="center"/>
          </w:tcPr>
          <w:p>
            <w:pPr>
              <w:pStyle w:val="53"/>
            </w:pPr>
            <w:r>
              <w:t>拦渣率</w:t>
            </w:r>
            <w:r>
              <w:rPr>
                <w:rFonts w:hint="eastAsia"/>
              </w:rPr>
              <w:t>（%）</w:t>
            </w:r>
          </w:p>
        </w:tc>
        <w:tc>
          <w:tcPr>
            <w:tcW w:w="730" w:type="dxa"/>
            <w:vAlign w:val="center"/>
          </w:tcPr>
          <w:p>
            <w:pPr>
              <w:pStyle w:val="53"/>
            </w:pPr>
            <w:r>
              <w:rPr>
                <w:rFonts w:hint="eastAsia"/>
              </w:rPr>
              <w:t>95</w:t>
            </w:r>
          </w:p>
        </w:tc>
        <w:tc>
          <w:tcPr>
            <w:tcW w:w="709" w:type="dxa"/>
            <w:gridSpan w:val="2"/>
            <w:vAlign w:val="center"/>
          </w:tcPr>
          <w:p>
            <w:pPr>
              <w:pStyle w:val="53"/>
            </w:pPr>
            <w:r>
              <w:rPr>
                <w:rFonts w:hint="eastAsia"/>
              </w:rPr>
              <w:t>96.08</w:t>
            </w:r>
          </w:p>
        </w:tc>
        <w:tc>
          <w:tcPr>
            <w:tcW w:w="1563" w:type="dxa"/>
            <w:gridSpan w:val="3"/>
            <w:vAlign w:val="center"/>
          </w:tcPr>
          <w:p>
            <w:pPr>
              <w:pStyle w:val="53"/>
            </w:pPr>
            <w:r>
              <w:t>实际拦挡弃渣量</w:t>
            </w:r>
          </w:p>
          <w:p>
            <w:pPr>
              <w:pStyle w:val="53"/>
            </w:pPr>
          </w:p>
        </w:tc>
        <w:tc>
          <w:tcPr>
            <w:tcW w:w="1074" w:type="dxa"/>
            <w:gridSpan w:val="2"/>
            <w:vAlign w:val="center"/>
          </w:tcPr>
          <w:p>
            <w:pPr>
              <w:pStyle w:val="53"/>
            </w:pPr>
            <w:r>
              <w:rPr>
                <w:rFonts w:hint="eastAsia"/>
              </w:rPr>
              <w:t>70.63</w:t>
            </w:r>
          </w:p>
          <w:p>
            <w:pPr>
              <w:pStyle w:val="53"/>
            </w:pPr>
            <w:r>
              <w:rPr>
                <w:rFonts w:hint="eastAsia"/>
              </w:rPr>
              <w:t>万 m³</w:t>
            </w:r>
          </w:p>
        </w:tc>
        <w:tc>
          <w:tcPr>
            <w:tcW w:w="1052" w:type="dxa"/>
            <w:gridSpan w:val="3"/>
            <w:vAlign w:val="center"/>
          </w:tcPr>
          <w:p>
            <w:pPr>
              <w:pStyle w:val="53"/>
            </w:pPr>
            <w:r>
              <w:t>总弃渣量</w:t>
            </w:r>
          </w:p>
        </w:tc>
        <w:tc>
          <w:tcPr>
            <w:tcW w:w="1183" w:type="dxa"/>
            <w:gridSpan w:val="2"/>
            <w:vAlign w:val="center"/>
          </w:tcPr>
          <w:p>
            <w:pPr>
              <w:pStyle w:val="53"/>
            </w:pPr>
            <w:r>
              <w:rPr>
                <w:rFonts w:hint="eastAsia"/>
              </w:rPr>
              <w:t>73.51</w:t>
            </w:r>
          </w:p>
          <w:p>
            <w:pPr>
              <w:pStyle w:val="53"/>
            </w:pPr>
            <w:r>
              <w:rPr>
                <w:rFonts w:hint="eastAsia"/>
              </w:rPr>
              <w:t>万m³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11" w:type="dxa"/>
            <w:vMerge w:val="continue"/>
            <w:vAlign w:val="center"/>
          </w:tcPr>
          <w:p>
            <w:pPr>
              <w:pStyle w:val="53"/>
            </w:pPr>
          </w:p>
        </w:tc>
        <w:tc>
          <w:tcPr>
            <w:tcW w:w="1706" w:type="dxa"/>
            <w:gridSpan w:val="3"/>
            <w:vAlign w:val="center"/>
          </w:tcPr>
          <w:p>
            <w:pPr>
              <w:pStyle w:val="53"/>
            </w:pPr>
            <w:r>
              <w:t>水土保持治理</w:t>
            </w:r>
          </w:p>
          <w:p>
            <w:pPr>
              <w:pStyle w:val="53"/>
            </w:pPr>
            <w:r>
              <w:t>达标评价</w:t>
            </w:r>
          </w:p>
        </w:tc>
        <w:tc>
          <w:tcPr>
            <w:tcW w:w="6311" w:type="dxa"/>
            <w:gridSpan w:val="13"/>
            <w:vAlign w:val="center"/>
          </w:tcPr>
          <w:p>
            <w:pPr>
              <w:pStyle w:val="53"/>
              <w:jc w:val="left"/>
            </w:pPr>
            <w:r>
              <w:rPr>
                <w:rFonts w:hint="eastAsia"/>
              </w:rPr>
              <w:t>水土保持治理已完成，植物措施已布设。</w:t>
            </w:r>
            <w:r>
              <w:t>本工程通过实施水土保持措施，项目区扰动土地整治率为9</w:t>
            </w:r>
            <w:r>
              <w:rPr>
                <w:rFonts w:hint="eastAsia"/>
              </w:rPr>
              <w:t>8.78</w:t>
            </w:r>
            <w:r>
              <w:t>%，水土流失总治理度为</w:t>
            </w:r>
            <w:r>
              <w:rPr>
                <w:rFonts w:hint="eastAsia"/>
              </w:rPr>
              <w:t>97.58</w:t>
            </w:r>
            <w:r>
              <w:t>%，土壤流失控制比为</w:t>
            </w:r>
            <w:r>
              <w:rPr>
                <w:rFonts w:hint="eastAsia"/>
              </w:rPr>
              <w:t>1.3</w:t>
            </w:r>
            <w:r>
              <w:t>，拦渣率为</w:t>
            </w:r>
            <w:r>
              <w:rPr>
                <w:rFonts w:hint="eastAsia"/>
              </w:rPr>
              <w:t>96.08</w:t>
            </w:r>
            <w:r>
              <w:t>%，林草植被恢复率为</w:t>
            </w:r>
            <w:r>
              <w:rPr>
                <w:rFonts w:hint="eastAsia"/>
              </w:rPr>
              <w:t>100</w:t>
            </w:r>
            <w:r>
              <w:t>%，林草覆盖率为</w:t>
            </w:r>
            <w:r>
              <w:rPr>
                <w:rFonts w:hint="eastAsia"/>
              </w:rPr>
              <w:t>35.4</w:t>
            </w:r>
            <w:r>
              <w:t>%</w:t>
            </w:r>
            <w:r>
              <w:rPr>
                <w:rFonts w:hint="eastAsia"/>
              </w:rPr>
              <w:t>，均已达到方案设计标准。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1" w:type="dxa"/>
            <w:vMerge w:val="continue"/>
            <w:vAlign w:val="center"/>
          </w:tcPr>
          <w:p>
            <w:pPr>
              <w:pStyle w:val="53"/>
            </w:pPr>
          </w:p>
        </w:tc>
        <w:tc>
          <w:tcPr>
            <w:tcW w:w="1706" w:type="dxa"/>
            <w:gridSpan w:val="3"/>
            <w:vAlign w:val="center"/>
          </w:tcPr>
          <w:p>
            <w:pPr>
              <w:pStyle w:val="53"/>
            </w:pPr>
            <w:r>
              <w:t>总体结论</w:t>
            </w:r>
          </w:p>
        </w:tc>
        <w:tc>
          <w:tcPr>
            <w:tcW w:w="6311" w:type="dxa"/>
            <w:gridSpan w:val="13"/>
            <w:vAlign w:val="center"/>
          </w:tcPr>
          <w:p>
            <w:pPr>
              <w:pStyle w:val="53"/>
              <w:jc w:val="left"/>
            </w:pPr>
            <w:r>
              <w:t>监测结果表明：工程建设期间，</w:t>
            </w:r>
            <w:r>
              <w:rPr>
                <w:rFonts w:hint="eastAsia"/>
              </w:rPr>
              <w:t>水土保持工程措施、植物措施和临时措施符合方案设计要求，满足工程水土保持效益。</w:t>
            </w:r>
          </w:p>
          <w:p>
            <w:pPr>
              <w:pStyle w:val="53"/>
              <w:jc w:val="left"/>
            </w:pPr>
            <w:r>
              <w:rPr>
                <w:rFonts w:hint="eastAsia"/>
              </w:rPr>
              <w:t>建设单位管理到位，未发生水土流失事件。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17" w:type="dxa"/>
            <w:gridSpan w:val="4"/>
            <w:vAlign w:val="center"/>
          </w:tcPr>
          <w:p>
            <w:pPr>
              <w:pStyle w:val="53"/>
            </w:pPr>
            <w:r>
              <w:t>主要建议</w:t>
            </w:r>
          </w:p>
        </w:tc>
        <w:tc>
          <w:tcPr>
            <w:tcW w:w="6311" w:type="dxa"/>
            <w:gridSpan w:val="13"/>
            <w:vAlign w:val="center"/>
          </w:tcPr>
          <w:p>
            <w:pPr>
              <w:pStyle w:val="53"/>
              <w:jc w:val="left"/>
            </w:pPr>
            <w:r>
              <w:rPr>
                <w:rFonts w:hint="eastAsia"/>
              </w:rPr>
              <w:t>（1）注意完工后水土保持工程措施的维护，特别是围堤排水沟的清理。</w:t>
            </w:r>
          </w:p>
          <w:p>
            <w:pPr>
              <w:pStyle w:val="53"/>
              <w:jc w:val="left"/>
            </w:pPr>
            <w:r>
              <w:rPr>
                <w:rFonts w:hint="eastAsia"/>
              </w:rPr>
              <w:t>（2）注意绿化的养护，有积水的场地待草种一个生长周期后恢复不佳，则需要补种。</w:t>
            </w:r>
          </w:p>
        </w:tc>
      </w:tr>
    </w:tbl>
    <w:p>
      <w:pPr>
        <w:ind w:firstLine="560"/>
        <w:rPr>
          <w:sz w:val="28"/>
          <w:szCs w:val="28"/>
        </w:rPr>
      </w:pPr>
    </w:p>
    <w:p>
      <w:pPr>
        <w:ind w:firstLine="560"/>
        <w:rPr>
          <w:sz w:val="28"/>
          <w:szCs w:val="28"/>
        </w:rPr>
      </w:pPr>
    </w:p>
    <w:p>
      <w:pPr>
        <w:ind w:firstLine="560"/>
        <w:rPr>
          <w:sz w:val="28"/>
          <w:szCs w:val="28"/>
        </w:rPr>
      </w:pPr>
    </w:p>
    <w:p>
      <w:pPr>
        <w:ind w:firstLine="560"/>
        <w:rPr>
          <w:sz w:val="28"/>
          <w:szCs w:val="28"/>
        </w:rPr>
        <w:sectPr>
          <w:pgSz w:w="11906" w:h="16838"/>
          <w:pgMar w:top="1587" w:right="1587" w:bottom="1587" w:left="1587" w:header="567" w:footer="567" w:gutter="0"/>
          <w:cols w:space="720" w:num="1"/>
          <w:docGrid w:type="lines" w:linePitch="312" w:charSpace="0"/>
        </w:sectPr>
      </w:pPr>
    </w:p>
    <w:p>
      <w:pPr>
        <w:pStyle w:val="3"/>
        <w:spacing w:line="240" w:lineRule="auto"/>
        <w:ind w:firstLine="0" w:firstLineChars="0"/>
        <w:jc w:val="center"/>
        <w:rPr>
          <w:rFonts w:cs="仿宋"/>
        </w:rPr>
      </w:pPr>
      <w:bookmarkStart w:id="3" w:name="_Toc28731"/>
      <w:r>
        <w:rPr>
          <w:rFonts w:hint="eastAsia" w:cs="仿宋"/>
        </w:rPr>
        <w:t>1</w:t>
      </w:r>
      <w:r>
        <w:rPr>
          <w:rFonts w:hint="eastAsia" w:cs="仿宋_GB2312"/>
        </w:rPr>
        <w:t>项目及项目区概况</w:t>
      </w:r>
      <w:bookmarkEnd w:id="3"/>
    </w:p>
    <w:p>
      <w:pPr>
        <w:pStyle w:val="4"/>
        <w:ind w:firstLine="562"/>
      </w:pPr>
      <w:bookmarkStart w:id="4" w:name="_Toc11640"/>
      <w:r>
        <w:rPr>
          <w:rFonts w:hint="eastAsia"/>
        </w:rPr>
        <w:t>1.1项目概况</w:t>
      </w:r>
      <w:bookmarkEnd w:id="4"/>
    </w:p>
    <w:p>
      <w:pPr>
        <w:pStyle w:val="5"/>
        <w:ind w:firstLine="562"/>
      </w:pPr>
      <w:bookmarkStart w:id="5" w:name="_Toc4840"/>
      <w:bookmarkStart w:id="6" w:name="_Toc529801379"/>
      <w:bookmarkStart w:id="7" w:name="_Toc529379692"/>
      <w:r>
        <w:t xml:space="preserve">1.1.1 </w:t>
      </w:r>
      <w:r>
        <w:rPr>
          <w:rFonts w:hint="eastAsia"/>
        </w:rPr>
        <w:t>地理位置</w:t>
      </w:r>
      <w:bookmarkEnd w:id="5"/>
      <w:bookmarkEnd w:id="6"/>
      <w:bookmarkEnd w:id="7"/>
    </w:p>
    <w:p>
      <w:pPr>
        <w:ind w:firstLine="480"/>
      </w:pPr>
      <w:r>
        <w:rPr>
          <w:rFonts w:hint="eastAsia"/>
        </w:rPr>
        <w:t>楚天都市沁园建设项目位于武汉市洪山区青菱街道双建村，黄家湖以北，三环线以南，地理经纬坐标为30° 27' 28.17" N，114° 17' 14.03" E。项目地块北侧为规划清菱南路，东侧为规划清菱南二路，西侧为规划清菱南一路，南侧为环湖北路，交通较为便利。</w:t>
      </w:r>
    </w:p>
    <w:p>
      <w:pPr>
        <w:pStyle w:val="2"/>
        <w:ind w:firstLine="482"/>
      </w:pPr>
      <w:r>
        <w:rPr>
          <w:b/>
        </w:rPr>
        <w:drawing>
          <wp:inline distT="0" distB="0" distL="0" distR="0">
            <wp:extent cx="5088890" cy="2981325"/>
            <wp:effectExtent l="0" t="0" r="0" b="9525"/>
            <wp:docPr id="17" name="图片 1" descr="QQ截图2014041221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QQ截图201404122116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088890" cy="2981325"/>
                    </a:xfrm>
                    <a:prstGeom prst="rect">
                      <a:avLst/>
                    </a:prstGeom>
                    <a:noFill/>
                    <a:ln>
                      <a:noFill/>
                    </a:ln>
                  </pic:spPr>
                </pic:pic>
              </a:graphicData>
            </a:graphic>
          </wp:inline>
        </w:drawing>
      </w:r>
    </w:p>
    <w:p>
      <w:pPr>
        <w:pStyle w:val="2"/>
        <w:ind w:firstLine="482"/>
        <w:jc w:val="center"/>
        <w:rPr>
          <w:rFonts w:eastAsia="仿宋_GB2312" w:cs="仿宋_GB2312"/>
          <w:b/>
          <w:bCs/>
        </w:rPr>
      </w:pPr>
      <w:r>
        <w:rPr>
          <w:rFonts w:hint="eastAsia" w:eastAsia="仿宋_GB2312" w:cs="仿宋_GB2312"/>
          <w:b/>
          <w:bCs/>
        </w:rPr>
        <w:t xml:space="preserve"> 图 1-1 楚天都市沁园建设项目地理位置示意图</w:t>
      </w:r>
    </w:p>
    <w:p>
      <w:pPr>
        <w:pStyle w:val="5"/>
        <w:ind w:firstLine="562"/>
      </w:pPr>
      <w:bookmarkStart w:id="8" w:name="_Toc529379693"/>
      <w:bookmarkStart w:id="9" w:name="_Toc529801380"/>
      <w:bookmarkStart w:id="10" w:name="_Toc28544"/>
      <w:r>
        <w:t xml:space="preserve">1.1.2 </w:t>
      </w:r>
      <w:r>
        <w:rPr>
          <w:rFonts w:hint="eastAsia"/>
        </w:rPr>
        <w:t>主要技术指标</w:t>
      </w:r>
      <w:bookmarkEnd w:id="8"/>
      <w:bookmarkEnd w:id="9"/>
      <w:bookmarkEnd w:id="10"/>
    </w:p>
    <w:p>
      <w:pPr>
        <w:ind w:firstLine="480"/>
      </w:pPr>
      <w:r>
        <w:t>本项目规划总用地面积18.60hm</w:t>
      </w:r>
      <w:r>
        <w:rPr>
          <w:rFonts w:hint="eastAsia"/>
          <w:vertAlign w:val="superscript"/>
        </w:rPr>
        <w:t>2</w:t>
      </w:r>
      <w:r>
        <w:t>（其中东区为13.76hm</w:t>
      </w:r>
      <w:r>
        <w:rPr>
          <w:rFonts w:hint="eastAsia"/>
          <w:vertAlign w:val="superscript"/>
        </w:rPr>
        <w:t>2</w:t>
      </w:r>
      <w:r>
        <w:t>，西区为4.84hm</w:t>
      </w:r>
      <w:r>
        <w:rPr>
          <w:rFonts w:hint="eastAsia"/>
          <w:vertAlign w:val="superscript"/>
        </w:rPr>
        <w:t>2</w:t>
      </w:r>
      <w:r>
        <w:t>），用地性质为居住用地。</w:t>
      </w:r>
    </w:p>
    <w:p>
      <w:pPr>
        <w:ind w:firstLine="480"/>
      </w:pPr>
      <w:r>
        <w:t>东区地上建筑面积267040m</w:t>
      </w:r>
      <w:r>
        <w:rPr>
          <w:rFonts w:hint="eastAsia"/>
          <w:vertAlign w:val="superscript"/>
        </w:rPr>
        <w:t>2</w:t>
      </w:r>
      <w:r>
        <w:t>（住宅建筑面积251740m</w:t>
      </w:r>
      <w:r>
        <w:rPr>
          <w:rFonts w:hint="eastAsia"/>
          <w:vertAlign w:val="superscript"/>
        </w:rPr>
        <w:t>2</w:t>
      </w:r>
      <w:r>
        <w:t>，商业建筑面积10400m</w:t>
      </w:r>
      <w:r>
        <w:rPr>
          <w:rFonts w:hint="eastAsia"/>
          <w:vertAlign w:val="superscript"/>
        </w:rPr>
        <w:t>2</w:t>
      </w:r>
      <w:r>
        <w:t>，公共配建建筑面积4900m</w:t>
      </w:r>
      <w:r>
        <w:rPr>
          <w:rFonts w:hint="eastAsia"/>
          <w:vertAlign w:val="superscript"/>
        </w:rPr>
        <w:t>2</w:t>
      </w:r>
      <w:r>
        <w:t>），地下建筑面积为85700m</w:t>
      </w:r>
      <w:r>
        <w:rPr>
          <w:rFonts w:hint="eastAsia"/>
          <w:vertAlign w:val="superscript"/>
        </w:rPr>
        <w:t>2</w:t>
      </w:r>
      <w:r>
        <w:t>，架空层建筑面积5550m</w:t>
      </w:r>
      <w:r>
        <w:rPr>
          <w:rFonts w:hint="eastAsia"/>
          <w:vertAlign w:val="superscript"/>
        </w:rPr>
        <w:t>2</w:t>
      </w:r>
      <w:r>
        <w:t>，容积率1.94，建筑密度22.8%，绿地率35.3%，机动车停车位为1944辆，其中地面停车位170辆，地下停车位1774辆，详见表3-1-1。</w:t>
      </w:r>
    </w:p>
    <w:p>
      <w:pPr>
        <w:spacing w:line="560" w:lineRule="exact"/>
        <w:ind w:firstLine="480"/>
        <w:rPr>
          <w:rFonts w:cs="仿宋_GB2312"/>
        </w:rPr>
      </w:pPr>
      <w:r>
        <w:t>西区地上建筑面积184280m</w:t>
      </w:r>
      <w:r>
        <w:rPr>
          <w:vertAlign w:val="superscript"/>
        </w:rPr>
        <w:t>2</w:t>
      </w:r>
      <w:r>
        <w:t>（住宅建筑面积176730m</w:t>
      </w:r>
      <w:r>
        <w:rPr>
          <w:vertAlign w:val="superscript"/>
        </w:rPr>
        <w:t>2</w:t>
      </w:r>
      <w:r>
        <w:t>，商业建筑面积7550m</w:t>
      </w:r>
      <w:r>
        <w:rPr>
          <w:vertAlign w:val="superscript"/>
        </w:rPr>
        <w:t>2</w:t>
      </w:r>
      <w:r>
        <w:t>），地下建筑面积为41250m</w:t>
      </w:r>
      <w:r>
        <w:rPr>
          <w:vertAlign w:val="superscript"/>
        </w:rPr>
        <w:t>2</w:t>
      </w:r>
      <w:r>
        <w:t>，架空层建筑面积3260m</w:t>
      </w:r>
      <w:r>
        <w:rPr>
          <w:vertAlign w:val="superscript"/>
        </w:rPr>
        <w:t>2</w:t>
      </w:r>
      <w:r>
        <w:t>，容积率3.80，建筑密度19.6%，绿地率35.6%，机动车停车位为1064辆，其中地面停车位154辆，地下停车位910辆，详见表3-1-2。</w:t>
      </w:r>
      <w:r>
        <w:rPr>
          <w:rFonts w:hint="eastAsia" w:cs="仿宋_GB2312"/>
        </w:rPr>
        <w:t>项目主体工程特性表见表1-1~1.2。</w:t>
      </w:r>
    </w:p>
    <w:p>
      <w:pPr>
        <w:pStyle w:val="2"/>
        <w:ind w:firstLine="480"/>
        <w:rPr>
          <w:rFonts w:cs="仿宋_GB2312"/>
        </w:rPr>
      </w:pPr>
    </w:p>
    <w:p>
      <w:pPr>
        <w:pStyle w:val="2"/>
        <w:ind w:firstLine="480"/>
        <w:rPr>
          <w:rFonts w:cs="仿宋_GB2312"/>
        </w:rPr>
      </w:pPr>
    </w:p>
    <w:p>
      <w:pPr>
        <w:ind w:firstLine="403" w:firstLineChars="191"/>
        <w:jc w:val="center"/>
        <w:rPr>
          <w:rFonts w:cs="仿宋_GB2312"/>
          <w:b/>
          <w:bCs/>
          <w:sz w:val="21"/>
          <w:szCs w:val="21"/>
        </w:rPr>
      </w:pPr>
      <w:r>
        <w:rPr>
          <w:rFonts w:hint="eastAsia" w:cs="仿宋_GB2312"/>
          <w:b/>
          <w:bCs/>
          <w:sz w:val="21"/>
          <w:szCs w:val="21"/>
        </w:rPr>
        <w:t>表1-1  东区主要特性表</w:t>
      </w:r>
    </w:p>
    <w:tbl>
      <w:tblPr>
        <w:tblStyle w:val="23"/>
        <w:tblW w:w="5136"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026"/>
        <w:gridCol w:w="270"/>
        <w:gridCol w:w="612"/>
        <w:gridCol w:w="349"/>
        <w:gridCol w:w="1142"/>
        <w:gridCol w:w="912"/>
        <w:gridCol w:w="1090"/>
        <w:gridCol w:w="686"/>
        <w:gridCol w:w="265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245" w:type="pct"/>
            <w:vAlign w:val="center"/>
          </w:tcPr>
          <w:p>
            <w:pPr>
              <w:pStyle w:val="53"/>
            </w:pPr>
            <w:r>
              <w:t>序号</w:t>
            </w:r>
          </w:p>
        </w:tc>
        <w:tc>
          <w:tcPr>
            <w:tcW w:w="1849" w:type="pct"/>
            <w:gridSpan w:val="5"/>
            <w:vAlign w:val="center"/>
          </w:tcPr>
          <w:p>
            <w:pPr>
              <w:pStyle w:val="53"/>
            </w:pPr>
            <w:r>
              <w:t>指标名称</w:t>
            </w:r>
          </w:p>
        </w:tc>
        <w:tc>
          <w:tcPr>
            <w:tcW w:w="496" w:type="pct"/>
            <w:vAlign w:val="center"/>
          </w:tcPr>
          <w:p>
            <w:pPr>
              <w:pStyle w:val="53"/>
            </w:pPr>
            <w:r>
              <w:t>层数</w:t>
            </w:r>
          </w:p>
        </w:tc>
        <w:tc>
          <w:tcPr>
            <w:tcW w:w="593" w:type="pct"/>
            <w:vAlign w:val="center"/>
          </w:tcPr>
          <w:p>
            <w:pPr>
              <w:pStyle w:val="53"/>
            </w:pPr>
            <w:r>
              <w:t>数据</w:t>
            </w:r>
          </w:p>
        </w:tc>
        <w:tc>
          <w:tcPr>
            <w:tcW w:w="372" w:type="pct"/>
            <w:vAlign w:val="center"/>
          </w:tcPr>
          <w:p>
            <w:pPr>
              <w:pStyle w:val="53"/>
            </w:pPr>
            <w:r>
              <w:t>单位</w:t>
            </w:r>
          </w:p>
        </w:tc>
        <w:tc>
          <w:tcPr>
            <w:tcW w:w="1442" w:type="pct"/>
            <w:vAlign w:val="center"/>
          </w:tcPr>
          <w:p>
            <w:pPr>
              <w:pStyle w:val="53"/>
            </w:pPr>
            <w: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4" w:hRule="exact"/>
        </w:trPr>
        <w:tc>
          <w:tcPr>
            <w:tcW w:w="5000" w:type="pct"/>
            <w:gridSpan w:val="10"/>
            <w:vAlign w:val="center"/>
          </w:tcPr>
          <w:p>
            <w:pPr>
              <w:pStyle w:val="53"/>
            </w:pPr>
            <w:r>
              <w:t>主要技术指标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4" w:hRule="exact"/>
        </w:trPr>
        <w:tc>
          <w:tcPr>
            <w:tcW w:w="245" w:type="pct"/>
            <w:vAlign w:val="center"/>
          </w:tcPr>
          <w:p>
            <w:pPr>
              <w:pStyle w:val="53"/>
            </w:pPr>
            <w:r>
              <w:t>1</w:t>
            </w:r>
          </w:p>
        </w:tc>
        <w:tc>
          <w:tcPr>
            <w:tcW w:w="1849" w:type="pct"/>
            <w:gridSpan w:val="5"/>
            <w:vAlign w:val="center"/>
          </w:tcPr>
          <w:p>
            <w:pPr>
              <w:pStyle w:val="53"/>
            </w:pPr>
            <w:r>
              <w:t>规划总用地面积</w:t>
            </w:r>
          </w:p>
        </w:tc>
        <w:tc>
          <w:tcPr>
            <w:tcW w:w="496" w:type="pct"/>
            <w:vAlign w:val="center"/>
          </w:tcPr>
          <w:p>
            <w:pPr>
              <w:pStyle w:val="53"/>
            </w:pPr>
            <w:r>
              <w:t>--</w:t>
            </w:r>
          </w:p>
        </w:tc>
        <w:tc>
          <w:tcPr>
            <w:tcW w:w="593" w:type="pct"/>
            <w:vAlign w:val="center"/>
          </w:tcPr>
          <w:p>
            <w:pPr>
              <w:pStyle w:val="53"/>
            </w:pPr>
            <w:r>
              <w:t>13.76</w:t>
            </w:r>
          </w:p>
        </w:tc>
        <w:tc>
          <w:tcPr>
            <w:tcW w:w="372" w:type="pct"/>
            <w:vAlign w:val="center"/>
          </w:tcPr>
          <w:p>
            <w:pPr>
              <w:pStyle w:val="53"/>
            </w:pPr>
            <w:r>
              <w:t>hm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45" w:type="pct"/>
            <w:vAlign w:val="center"/>
          </w:tcPr>
          <w:p>
            <w:pPr>
              <w:pStyle w:val="53"/>
            </w:pPr>
            <w:r>
              <w:t>2</w:t>
            </w:r>
          </w:p>
        </w:tc>
        <w:tc>
          <w:tcPr>
            <w:tcW w:w="1849" w:type="pct"/>
            <w:gridSpan w:val="5"/>
            <w:vAlign w:val="center"/>
          </w:tcPr>
          <w:p>
            <w:pPr>
              <w:pStyle w:val="53"/>
            </w:pPr>
            <w:r>
              <w:t>地上建筑面积</w:t>
            </w:r>
          </w:p>
        </w:tc>
        <w:tc>
          <w:tcPr>
            <w:tcW w:w="496" w:type="pct"/>
            <w:vAlign w:val="center"/>
          </w:tcPr>
          <w:p>
            <w:pPr>
              <w:pStyle w:val="53"/>
            </w:pPr>
            <w:r>
              <w:t>--</w:t>
            </w:r>
          </w:p>
        </w:tc>
        <w:tc>
          <w:tcPr>
            <w:tcW w:w="593" w:type="pct"/>
            <w:vAlign w:val="center"/>
          </w:tcPr>
          <w:p>
            <w:pPr>
              <w:pStyle w:val="53"/>
            </w:pPr>
            <w:r>
              <w:t>267040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45" w:type="pct"/>
            <w:vMerge w:val="restart"/>
            <w:vAlign w:val="center"/>
          </w:tcPr>
          <w:p>
            <w:pPr>
              <w:pStyle w:val="53"/>
            </w:pPr>
            <w:r>
              <w:t>其中</w:t>
            </w:r>
          </w:p>
        </w:tc>
        <w:tc>
          <w:tcPr>
            <w:tcW w:w="558" w:type="pct"/>
            <w:vMerge w:val="restart"/>
            <w:vAlign w:val="center"/>
          </w:tcPr>
          <w:p>
            <w:pPr>
              <w:pStyle w:val="53"/>
            </w:pPr>
          </w:p>
        </w:tc>
        <w:tc>
          <w:tcPr>
            <w:tcW w:w="670" w:type="pct"/>
            <w:gridSpan w:val="3"/>
            <w:vMerge w:val="restart"/>
            <w:vAlign w:val="center"/>
          </w:tcPr>
          <w:p>
            <w:pPr>
              <w:pStyle w:val="53"/>
            </w:pPr>
            <w:r>
              <w:t>住宅</w:t>
            </w:r>
          </w:p>
        </w:tc>
        <w:tc>
          <w:tcPr>
            <w:tcW w:w="621" w:type="pct"/>
            <w:vAlign w:val="center"/>
          </w:tcPr>
          <w:p>
            <w:pPr>
              <w:pStyle w:val="53"/>
            </w:pPr>
            <w:r>
              <w:t>高层</w:t>
            </w:r>
          </w:p>
          <w:p>
            <w:pPr>
              <w:pStyle w:val="53"/>
            </w:pPr>
            <w:r>
              <w:t>住宅</w:t>
            </w:r>
          </w:p>
        </w:tc>
        <w:tc>
          <w:tcPr>
            <w:tcW w:w="496" w:type="pct"/>
            <w:vAlign w:val="center"/>
          </w:tcPr>
          <w:p>
            <w:pPr>
              <w:pStyle w:val="53"/>
            </w:pPr>
            <w:r>
              <w:t>24~45</w:t>
            </w:r>
          </w:p>
        </w:tc>
        <w:tc>
          <w:tcPr>
            <w:tcW w:w="593" w:type="pct"/>
            <w:vAlign w:val="center"/>
          </w:tcPr>
          <w:p>
            <w:pPr>
              <w:pStyle w:val="53"/>
            </w:pPr>
            <w:r>
              <w:t>203490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45" w:type="pct"/>
            <w:vMerge w:val="continue"/>
            <w:vAlign w:val="center"/>
          </w:tcPr>
          <w:p>
            <w:pPr>
              <w:pStyle w:val="53"/>
            </w:pPr>
          </w:p>
        </w:tc>
        <w:tc>
          <w:tcPr>
            <w:tcW w:w="558" w:type="pct"/>
            <w:vMerge w:val="continue"/>
            <w:vAlign w:val="center"/>
          </w:tcPr>
          <w:p>
            <w:pPr>
              <w:pStyle w:val="53"/>
            </w:pPr>
          </w:p>
        </w:tc>
        <w:tc>
          <w:tcPr>
            <w:tcW w:w="670" w:type="pct"/>
            <w:gridSpan w:val="3"/>
            <w:vMerge w:val="continue"/>
            <w:vAlign w:val="center"/>
          </w:tcPr>
          <w:p>
            <w:pPr>
              <w:pStyle w:val="53"/>
            </w:pPr>
          </w:p>
        </w:tc>
        <w:tc>
          <w:tcPr>
            <w:tcW w:w="621" w:type="pct"/>
            <w:vAlign w:val="center"/>
          </w:tcPr>
          <w:p>
            <w:pPr>
              <w:pStyle w:val="53"/>
            </w:pPr>
            <w:r>
              <w:t>低密度住宅</w:t>
            </w:r>
          </w:p>
        </w:tc>
        <w:tc>
          <w:tcPr>
            <w:tcW w:w="496" w:type="pct"/>
            <w:vAlign w:val="center"/>
          </w:tcPr>
          <w:p>
            <w:pPr>
              <w:pStyle w:val="53"/>
            </w:pPr>
            <w:r>
              <w:t>3~4</w:t>
            </w:r>
          </w:p>
        </w:tc>
        <w:tc>
          <w:tcPr>
            <w:tcW w:w="593" w:type="pct"/>
            <w:vAlign w:val="center"/>
          </w:tcPr>
          <w:p>
            <w:pPr>
              <w:pStyle w:val="53"/>
            </w:pPr>
            <w:r>
              <w:t>48250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245" w:type="pct"/>
            <w:vMerge w:val="continue"/>
            <w:vAlign w:val="center"/>
          </w:tcPr>
          <w:p>
            <w:pPr>
              <w:pStyle w:val="53"/>
            </w:pPr>
          </w:p>
        </w:tc>
        <w:tc>
          <w:tcPr>
            <w:tcW w:w="558" w:type="pct"/>
            <w:vMerge w:val="continue"/>
            <w:vAlign w:val="center"/>
          </w:tcPr>
          <w:p>
            <w:pPr>
              <w:pStyle w:val="53"/>
            </w:pPr>
          </w:p>
        </w:tc>
        <w:tc>
          <w:tcPr>
            <w:tcW w:w="1291" w:type="pct"/>
            <w:gridSpan w:val="4"/>
            <w:vAlign w:val="center"/>
          </w:tcPr>
          <w:p>
            <w:pPr>
              <w:pStyle w:val="53"/>
            </w:pPr>
            <w:r>
              <w:t>商业</w:t>
            </w:r>
          </w:p>
        </w:tc>
        <w:tc>
          <w:tcPr>
            <w:tcW w:w="496" w:type="pct"/>
            <w:vAlign w:val="center"/>
          </w:tcPr>
          <w:p>
            <w:pPr>
              <w:pStyle w:val="53"/>
            </w:pPr>
            <w:r>
              <w:t>2</w:t>
            </w:r>
          </w:p>
        </w:tc>
        <w:tc>
          <w:tcPr>
            <w:tcW w:w="593" w:type="pct"/>
            <w:vAlign w:val="center"/>
          </w:tcPr>
          <w:p>
            <w:pPr>
              <w:pStyle w:val="53"/>
            </w:pPr>
            <w:r>
              <w:t>10400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84" w:hRule="exact"/>
        </w:trPr>
        <w:tc>
          <w:tcPr>
            <w:tcW w:w="245" w:type="pct"/>
            <w:vMerge w:val="continue"/>
            <w:vAlign w:val="center"/>
          </w:tcPr>
          <w:p>
            <w:pPr>
              <w:pStyle w:val="53"/>
            </w:pPr>
          </w:p>
        </w:tc>
        <w:tc>
          <w:tcPr>
            <w:tcW w:w="558" w:type="pct"/>
            <w:vMerge w:val="continue"/>
            <w:vAlign w:val="center"/>
          </w:tcPr>
          <w:p>
            <w:pPr>
              <w:pStyle w:val="53"/>
            </w:pPr>
          </w:p>
        </w:tc>
        <w:tc>
          <w:tcPr>
            <w:tcW w:w="1291" w:type="pct"/>
            <w:gridSpan w:val="4"/>
            <w:vAlign w:val="center"/>
          </w:tcPr>
          <w:p>
            <w:pPr>
              <w:pStyle w:val="53"/>
            </w:pPr>
            <w:r>
              <w:t>公共配建</w:t>
            </w:r>
          </w:p>
        </w:tc>
        <w:tc>
          <w:tcPr>
            <w:tcW w:w="496" w:type="pct"/>
            <w:vAlign w:val="center"/>
          </w:tcPr>
          <w:p>
            <w:pPr>
              <w:pStyle w:val="53"/>
            </w:pPr>
            <w:r>
              <w:t>--</w:t>
            </w:r>
          </w:p>
        </w:tc>
        <w:tc>
          <w:tcPr>
            <w:tcW w:w="593" w:type="pct"/>
            <w:vAlign w:val="center"/>
          </w:tcPr>
          <w:p>
            <w:pPr>
              <w:pStyle w:val="53"/>
            </w:pPr>
            <w:r>
              <w:t>4900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251" w:hRule="atLeast"/>
        </w:trPr>
        <w:tc>
          <w:tcPr>
            <w:tcW w:w="245" w:type="pct"/>
            <w:vMerge w:val="continue"/>
            <w:vAlign w:val="center"/>
          </w:tcPr>
          <w:p>
            <w:pPr>
              <w:pStyle w:val="53"/>
            </w:pPr>
          </w:p>
        </w:tc>
        <w:tc>
          <w:tcPr>
            <w:tcW w:w="558" w:type="pct"/>
            <w:vMerge w:val="continue"/>
            <w:vAlign w:val="center"/>
          </w:tcPr>
          <w:p>
            <w:pPr>
              <w:pStyle w:val="53"/>
            </w:pPr>
          </w:p>
        </w:tc>
        <w:tc>
          <w:tcPr>
            <w:tcW w:w="480" w:type="pct"/>
            <w:gridSpan w:val="2"/>
            <w:vMerge w:val="restart"/>
            <w:vAlign w:val="center"/>
          </w:tcPr>
          <w:p>
            <w:pPr>
              <w:pStyle w:val="53"/>
            </w:pPr>
            <w:r>
              <w:t>其中</w:t>
            </w:r>
          </w:p>
        </w:tc>
        <w:tc>
          <w:tcPr>
            <w:tcW w:w="811" w:type="pct"/>
            <w:gridSpan w:val="2"/>
            <w:vAlign w:val="center"/>
          </w:tcPr>
          <w:p>
            <w:pPr>
              <w:pStyle w:val="53"/>
            </w:pPr>
            <w:r>
              <w:t>幼儿园</w:t>
            </w:r>
          </w:p>
        </w:tc>
        <w:tc>
          <w:tcPr>
            <w:tcW w:w="496" w:type="pct"/>
            <w:vAlign w:val="center"/>
          </w:tcPr>
          <w:p>
            <w:pPr>
              <w:pStyle w:val="53"/>
            </w:pPr>
            <w:r>
              <w:t>2~3</w:t>
            </w:r>
          </w:p>
        </w:tc>
        <w:tc>
          <w:tcPr>
            <w:tcW w:w="593" w:type="pct"/>
            <w:vAlign w:val="center"/>
          </w:tcPr>
          <w:p>
            <w:pPr>
              <w:pStyle w:val="53"/>
            </w:pPr>
            <w:r>
              <w:t>3600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45" w:type="pct"/>
            <w:vMerge w:val="continue"/>
            <w:vAlign w:val="center"/>
          </w:tcPr>
          <w:p>
            <w:pPr>
              <w:pStyle w:val="53"/>
            </w:pPr>
          </w:p>
        </w:tc>
        <w:tc>
          <w:tcPr>
            <w:tcW w:w="558" w:type="pct"/>
            <w:vMerge w:val="continue"/>
            <w:vAlign w:val="center"/>
          </w:tcPr>
          <w:p>
            <w:pPr>
              <w:pStyle w:val="53"/>
            </w:pPr>
          </w:p>
        </w:tc>
        <w:tc>
          <w:tcPr>
            <w:tcW w:w="480" w:type="pct"/>
            <w:gridSpan w:val="2"/>
            <w:vMerge w:val="continue"/>
            <w:vAlign w:val="center"/>
          </w:tcPr>
          <w:p>
            <w:pPr>
              <w:pStyle w:val="53"/>
            </w:pPr>
          </w:p>
        </w:tc>
        <w:tc>
          <w:tcPr>
            <w:tcW w:w="811" w:type="pct"/>
            <w:gridSpan w:val="2"/>
            <w:vAlign w:val="center"/>
          </w:tcPr>
          <w:p>
            <w:pPr>
              <w:pStyle w:val="53"/>
            </w:pPr>
            <w:r>
              <w:t>社区服务</w:t>
            </w:r>
          </w:p>
          <w:p>
            <w:pPr>
              <w:pStyle w:val="53"/>
            </w:pPr>
          </w:p>
        </w:tc>
        <w:tc>
          <w:tcPr>
            <w:tcW w:w="496" w:type="pct"/>
            <w:vAlign w:val="center"/>
          </w:tcPr>
          <w:p>
            <w:pPr>
              <w:pStyle w:val="53"/>
            </w:pPr>
            <w:r>
              <w:t>/</w:t>
            </w:r>
          </w:p>
        </w:tc>
        <w:tc>
          <w:tcPr>
            <w:tcW w:w="593" w:type="pct"/>
            <w:vAlign w:val="center"/>
          </w:tcPr>
          <w:p>
            <w:pPr>
              <w:pStyle w:val="53"/>
            </w:pPr>
            <w:r>
              <w:t>1300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5" w:type="pct"/>
            <w:vMerge w:val="continue"/>
            <w:vAlign w:val="center"/>
          </w:tcPr>
          <w:p>
            <w:pPr>
              <w:pStyle w:val="53"/>
            </w:pPr>
          </w:p>
        </w:tc>
        <w:tc>
          <w:tcPr>
            <w:tcW w:w="705" w:type="pct"/>
            <w:gridSpan w:val="2"/>
            <w:vAlign w:val="center"/>
          </w:tcPr>
          <w:p>
            <w:pPr>
              <w:pStyle w:val="53"/>
            </w:pPr>
            <w:r>
              <w:t>地下：</w:t>
            </w:r>
          </w:p>
        </w:tc>
        <w:tc>
          <w:tcPr>
            <w:tcW w:w="1144" w:type="pct"/>
            <w:gridSpan w:val="3"/>
            <w:vAlign w:val="center"/>
          </w:tcPr>
          <w:p>
            <w:pPr>
              <w:pStyle w:val="53"/>
            </w:pPr>
            <w:r>
              <w:t>人防车库</w:t>
            </w:r>
          </w:p>
        </w:tc>
        <w:tc>
          <w:tcPr>
            <w:tcW w:w="496" w:type="pct"/>
            <w:vAlign w:val="center"/>
          </w:tcPr>
          <w:p>
            <w:pPr>
              <w:pStyle w:val="53"/>
            </w:pPr>
            <w:r>
              <w:t>1</w:t>
            </w:r>
          </w:p>
        </w:tc>
        <w:tc>
          <w:tcPr>
            <w:tcW w:w="593" w:type="pct"/>
            <w:vAlign w:val="center"/>
          </w:tcPr>
          <w:p>
            <w:pPr>
              <w:pStyle w:val="53"/>
            </w:pPr>
            <w:r>
              <w:t>85700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3</w:t>
            </w:r>
          </w:p>
        </w:tc>
        <w:tc>
          <w:tcPr>
            <w:tcW w:w="1849" w:type="pct"/>
            <w:gridSpan w:val="5"/>
            <w:vAlign w:val="center"/>
          </w:tcPr>
          <w:p>
            <w:pPr>
              <w:pStyle w:val="53"/>
            </w:pPr>
            <w:r>
              <w:t>架空层建筑面积</w:t>
            </w:r>
          </w:p>
        </w:tc>
        <w:tc>
          <w:tcPr>
            <w:tcW w:w="496" w:type="pct"/>
            <w:vAlign w:val="center"/>
          </w:tcPr>
          <w:p>
            <w:pPr>
              <w:pStyle w:val="53"/>
            </w:pPr>
            <w:r>
              <w:t>1</w:t>
            </w:r>
          </w:p>
        </w:tc>
        <w:tc>
          <w:tcPr>
            <w:tcW w:w="593" w:type="pct"/>
            <w:vAlign w:val="center"/>
          </w:tcPr>
          <w:p>
            <w:pPr>
              <w:pStyle w:val="53"/>
            </w:pPr>
            <w:r>
              <w:t>5550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4</w:t>
            </w:r>
          </w:p>
        </w:tc>
        <w:tc>
          <w:tcPr>
            <w:tcW w:w="1849" w:type="pct"/>
            <w:gridSpan w:val="5"/>
            <w:vAlign w:val="center"/>
          </w:tcPr>
          <w:p>
            <w:pPr>
              <w:pStyle w:val="53"/>
            </w:pPr>
            <w:r>
              <w:t>建筑密度</w:t>
            </w:r>
          </w:p>
        </w:tc>
        <w:tc>
          <w:tcPr>
            <w:tcW w:w="496" w:type="pct"/>
            <w:vAlign w:val="center"/>
          </w:tcPr>
          <w:p>
            <w:pPr>
              <w:pStyle w:val="53"/>
            </w:pPr>
            <w:r>
              <w:t>--</w:t>
            </w:r>
          </w:p>
        </w:tc>
        <w:tc>
          <w:tcPr>
            <w:tcW w:w="593" w:type="pct"/>
            <w:vAlign w:val="center"/>
          </w:tcPr>
          <w:p>
            <w:pPr>
              <w:pStyle w:val="53"/>
            </w:pPr>
            <w:r>
              <w:t>22.8</w:t>
            </w:r>
          </w:p>
        </w:tc>
        <w:tc>
          <w:tcPr>
            <w:tcW w:w="372" w:type="pct"/>
            <w:vAlign w:val="center"/>
          </w:tcPr>
          <w:p>
            <w:pPr>
              <w:pStyle w:val="53"/>
            </w:pPr>
            <w:r>
              <w:t>%</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5</w:t>
            </w:r>
          </w:p>
        </w:tc>
        <w:tc>
          <w:tcPr>
            <w:tcW w:w="1849" w:type="pct"/>
            <w:gridSpan w:val="5"/>
            <w:vAlign w:val="center"/>
          </w:tcPr>
          <w:p>
            <w:pPr>
              <w:pStyle w:val="53"/>
            </w:pPr>
            <w:r>
              <w:t>建筑容积率</w:t>
            </w:r>
          </w:p>
        </w:tc>
        <w:tc>
          <w:tcPr>
            <w:tcW w:w="496" w:type="pct"/>
            <w:vAlign w:val="center"/>
          </w:tcPr>
          <w:p>
            <w:pPr>
              <w:pStyle w:val="53"/>
            </w:pPr>
            <w:r>
              <w:t>--</w:t>
            </w:r>
          </w:p>
        </w:tc>
        <w:tc>
          <w:tcPr>
            <w:tcW w:w="593" w:type="pct"/>
            <w:vAlign w:val="center"/>
          </w:tcPr>
          <w:p>
            <w:pPr>
              <w:pStyle w:val="53"/>
            </w:pPr>
            <w:r>
              <w:t>1.94</w:t>
            </w:r>
          </w:p>
        </w:tc>
        <w:tc>
          <w:tcPr>
            <w:tcW w:w="372" w:type="pct"/>
            <w:vAlign w:val="center"/>
          </w:tcPr>
          <w:p>
            <w:pPr>
              <w:pStyle w:val="53"/>
            </w:pPr>
            <w:r>
              <w:t>--</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6</w:t>
            </w:r>
          </w:p>
        </w:tc>
        <w:tc>
          <w:tcPr>
            <w:tcW w:w="1849" w:type="pct"/>
            <w:gridSpan w:val="5"/>
            <w:vAlign w:val="center"/>
          </w:tcPr>
          <w:p>
            <w:pPr>
              <w:pStyle w:val="53"/>
            </w:pPr>
            <w:r>
              <w:t>机动车停车位</w:t>
            </w:r>
          </w:p>
        </w:tc>
        <w:tc>
          <w:tcPr>
            <w:tcW w:w="496" w:type="pct"/>
            <w:vAlign w:val="center"/>
          </w:tcPr>
          <w:p>
            <w:pPr>
              <w:pStyle w:val="53"/>
            </w:pPr>
            <w:r>
              <w:t>--</w:t>
            </w:r>
          </w:p>
        </w:tc>
        <w:tc>
          <w:tcPr>
            <w:tcW w:w="593" w:type="pct"/>
            <w:vAlign w:val="center"/>
          </w:tcPr>
          <w:p>
            <w:pPr>
              <w:pStyle w:val="53"/>
            </w:pPr>
            <w:r>
              <w:t>1944</w:t>
            </w:r>
          </w:p>
        </w:tc>
        <w:tc>
          <w:tcPr>
            <w:tcW w:w="372" w:type="pct"/>
            <w:vAlign w:val="center"/>
          </w:tcPr>
          <w:p>
            <w:pPr>
              <w:pStyle w:val="53"/>
            </w:pPr>
            <w:r>
              <w:t>辆</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restart"/>
            <w:vAlign w:val="center"/>
          </w:tcPr>
          <w:p>
            <w:pPr>
              <w:pStyle w:val="53"/>
            </w:pPr>
            <w:r>
              <w:t>其中</w:t>
            </w:r>
          </w:p>
        </w:tc>
        <w:tc>
          <w:tcPr>
            <w:tcW w:w="1849" w:type="pct"/>
            <w:gridSpan w:val="5"/>
            <w:vAlign w:val="center"/>
          </w:tcPr>
          <w:p>
            <w:pPr>
              <w:pStyle w:val="53"/>
            </w:pPr>
            <w:r>
              <w:t>地面停车位</w:t>
            </w:r>
          </w:p>
        </w:tc>
        <w:tc>
          <w:tcPr>
            <w:tcW w:w="496" w:type="pct"/>
            <w:vAlign w:val="center"/>
          </w:tcPr>
          <w:p>
            <w:pPr>
              <w:pStyle w:val="53"/>
            </w:pPr>
            <w:r>
              <w:t>--</w:t>
            </w:r>
          </w:p>
        </w:tc>
        <w:tc>
          <w:tcPr>
            <w:tcW w:w="593" w:type="pct"/>
            <w:vAlign w:val="center"/>
          </w:tcPr>
          <w:p>
            <w:pPr>
              <w:pStyle w:val="53"/>
            </w:pPr>
            <w:r>
              <w:t>170</w:t>
            </w:r>
          </w:p>
        </w:tc>
        <w:tc>
          <w:tcPr>
            <w:tcW w:w="372" w:type="pct"/>
            <w:vAlign w:val="center"/>
          </w:tcPr>
          <w:p>
            <w:pPr>
              <w:pStyle w:val="53"/>
            </w:pPr>
            <w:r>
              <w:t>辆</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Merge w:val="continue"/>
            <w:vAlign w:val="center"/>
          </w:tcPr>
          <w:p>
            <w:pPr>
              <w:pStyle w:val="53"/>
            </w:pPr>
          </w:p>
        </w:tc>
        <w:tc>
          <w:tcPr>
            <w:tcW w:w="1849" w:type="pct"/>
            <w:gridSpan w:val="5"/>
            <w:vAlign w:val="center"/>
          </w:tcPr>
          <w:p>
            <w:pPr>
              <w:pStyle w:val="53"/>
            </w:pPr>
            <w:r>
              <w:t>地下停车位</w:t>
            </w:r>
          </w:p>
        </w:tc>
        <w:tc>
          <w:tcPr>
            <w:tcW w:w="496" w:type="pct"/>
            <w:vAlign w:val="center"/>
          </w:tcPr>
          <w:p>
            <w:pPr>
              <w:pStyle w:val="53"/>
            </w:pPr>
            <w:r>
              <w:t>--</w:t>
            </w:r>
          </w:p>
        </w:tc>
        <w:tc>
          <w:tcPr>
            <w:tcW w:w="593" w:type="pct"/>
            <w:vAlign w:val="center"/>
          </w:tcPr>
          <w:p>
            <w:pPr>
              <w:pStyle w:val="53"/>
            </w:pPr>
            <w:r>
              <w:t>1774</w:t>
            </w:r>
          </w:p>
        </w:tc>
        <w:tc>
          <w:tcPr>
            <w:tcW w:w="372" w:type="pct"/>
            <w:vAlign w:val="center"/>
          </w:tcPr>
          <w:p>
            <w:pPr>
              <w:pStyle w:val="53"/>
            </w:pPr>
            <w:r>
              <w:t>辆</w:t>
            </w:r>
          </w:p>
        </w:tc>
        <w:tc>
          <w:tcPr>
            <w:tcW w:w="1442" w:type="pct"/>
            <w:vAlign w:val="center"/>
          </w:tcPr>
          <w:p>
            <w:pPr>
              <w:pStyle w:val="53"/>
            </w:pPr>
            <w:r>
              <w:t>位于地下一层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7</w:t>
            </w:r>
          </w:p>
        </w:tc>
        <w:tc>
          <w:tcPr>
            <w:tcW w:w="1849" w:type="pct"/>
            <w:gridSpan w:val="5"/>
            <w:vAlign w:val="center"/>
          </w:tcPr>
          <w:p>
            <w:pPr>
              <w:pStyle w:val="53"/>
            </w:pPr>
            <w:r>
              <w:t>入住总户数</w:t>
            </w:r>
          </w:p>
        </w:tc>
        <w:tc>
          <w:tcPr>
            <w:tcW w:w="496" w:type="pct"/>
            <w:vAlign w:val="center"/>
          </w:tcPr>
          <w:p>
            <w:pPr>
              <w:pStyle w:val="53"/>
            </w:pPr>
            <w:r>
              <w:t>--</w:t>
            </w:r>
          </w:p>
        </w:tc>
        <w:tc>
          <w:tcPr>
            <w:tcW w:w="593" w:type="pct"/>
            <w:vAlign w:val="center"/>
          </w:tcPr>
          <w:p>
            <w:pPr>
              <w:pStyle w:val="53"/>
            </w:pPr>
            <w:r>
              <w:t>1747</w:t>
            </w:r>
          </w:p>
        </w:tc>
        <w:tc>
          <w:tcPr>
            <w:tcW w:w="372" w:type="pct"/>
            <w:vAlign w:val="center"/>
          </w:tcPr>
          <w:p>
            <w:pPr>
              <w:pStyle w:val="53"/>
            </w:pPr>
            <w:r>
              <w:t>户</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8</w:t>
            </w:r>
          </w:p>
        </w:tc>
        <w:tc>
          <w:tcPr>
            <w:tcW w:w="1849" w:type="pct"/>
            <w:gridSpan w:val="5"/>
            <w:vAlign w:val="center"/>
          </w:tcPr>
          <w:p>
            <w:pPr>
              <w:pStyle w:val="53"/>
            </w:pPr>
            <w:r>
              <w:t>绿地率</w:t>
            </w:r>
          </w:p>
        </w:tc>
        <w:tc>
          <w:tcPr>
            <w:tcW w:w="496" w:type="pct"/>
            <w:vAlign w:val="center"/>
          </w:tcPr>
          <w:p>
            <w:pPr>
              <w:pStyle w:val="53"/>
            </w:pPr>
            <w:r>
              <w:t>--</w:t>
            </w:r>
          </w:p>
        </w:tc>
        <w:tc>
          <w:tcPr>
            <w:tcW w:w="593" w:type="pct"/>
            <w:vAlign w:val="center"/>
          </w:tcPr>
          <w:p>
            <w:pPr>
              <w:pStyle w:val="53"/>
            </w:pPr>
            <w:r>
              <w:t>35.3</w:t>
            </w:r>
          </w:p>
        </w:tc>
        <w:tc>
          <w:tcPr>
            <w:tcW w:w="372" w:type="pct"/>
            <w:vAlign w:val="center"/>
          </w:tcPr>
          <w:p>
            <w:pPr>
              <w:pStyle w:val="53"/>
            </w:pPr>
            <w:r>
              <w:t>%</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10"/>
            <w:vAlign w:val="center"/>
          </w:tcPr>
          <w:p>
            <w:pPr>
              <w:pStyle w:val="53"/>
            </w:pPr>
            <w:r>
              <w:t>主要经济指标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1</w:t>
            </w:r>
          </w:p>
        </w:tc>
        <w:tc>
          <w:tcPr>
            <w:tcW w:w="1849" w:type="pct"/>
            <w:gridSpan w:val="5"/>
            <w:vAlign w:val="center"/>
          </w:tcPr>
          <w:p>
            <w:pPr>
              <w:pStyle w:val="53"/>
            </w:pPr>
            <w:r>
              <w:t>项目总投资</w:t>
            </w:r>
          </w:p>
        </w:tc>
        <w:tc>
          <w:tcPr>
            <w:tcW w:w="1462" w:type="pct"/>
            <w:gridSpan w:val="3"/>
            <w:vAlign w:val="center"/>
          </w:tcPr>
          <w:p>
            <w:pPr>
              <w:pStyle w:val="53"/>
            </w:pPr>
            <w:r>
              <w:t>万元</w:t>
            </w:r>
          </w:p>
        </w:tc>
        <w:tc>
          <w:tcPr>
            <w:tcW w:w="1442" w:type="pct"/>
            <w:vAlign w:val="center"/>
          </w:tcPr>
          <w:p>
            <w:pPr>
              <w:pStyle w:val="53"/>
            </w:pPr>
            <w:r>
              <w:t>162684.9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5" w:type="pct"/>
            <w:vAlign w:val="center"/>
          </w:tcPr>
          <w:p>
            <w:pPr>
              <w:pStyle w:val="53"/>
            </w:pPr>
            <w:r>
              <w:t>2</w:t>
            </w:r>
          </w:p>
        </w:tc>
        <w:tc>
          <w:tcPr>
            <w:tcW w:w="1849" w:type="pct"/>
            <w:gridSpan w:val="5"/>
            <w:vAlign w:val="center"/>
          </w:tcPr>
          <w:p>
            <w:pPr>
              <w:pStyle w:val="53"/>
            </w:pPr>
            <w:r>
              <w:t>项目土建投资</w:t>
            </w:r>
          </w:p>
        </w:tc>
        <w:tc>
          <w:tcPr>
            <w:tcW w:w="1462" w:type="pct"/>
            <w:gridSpan w:val="3"/>
            <w:vAlign w:val="center"/>
          </w:tcPr>
          <w:p>
            <w:pPr>
              <w:pStyle w:val="53"/>
            </w:pPr>
            <w:r>
              <w:t>万元</w:t>
            </w:r>
          </w:p>
        </w:tc>
        <w:tc>
          <w:tcPr>
            <w:tcW w:w="1442" w:type="pct"/>
            <w:vAlign w:val="center"/>
          </w:tcPr>
          <w:p>
            <w:pPr>
              <w:pStyle w:val="53"/>
            </w:pPr>
            <w:r>
              <w:t>133443.0</w:t>
            </w:r>
          </w:p>
        </w:tc>
      </w:tr>
    </w:tbl>
    <w:p>
      <w:pPr>
        <w:pStyle w:val="2"/>
        <w:ind w:firstLine="480"/>
        <w:rPr>
          <w:rFonts w:ascii="仿宋" w:cs="仿宋"/>
        </w:rPr>
      </w:pPr>
    </w:p>
    <w:p>
      <w:pPr>
        <w:ind w:firstLine="403" w:firstLineChars="191"/>
        <w:jc w:val="center"/>
        <w:rPr>
          <w:rFonts w:cs="仿宋_GB2312"/>
          <w:b/>
          <w:bCs/>
          <w:sz w:val="21"/>
          <w:szCs w:val="21"/>
        </w:rPr>
      </w:pPr>
      <w:r>
        <w:rPr>
          <w:rFonts w:hint="eastAsia" w:cs="仿宋_GB2312"/>
          <w:b/>
          <w:bCs/>
          <w:sz w:val="21"/>
          <w:szCs w:val="21"/>
        </w:rPr>
        <w:t>表1-2  东区主要特性表</w:t>
      </w:r>
    </w:p>
    <w:tbl>
      <w:tblPr>
        <w:tblStyle w:val="23"/>
        <w:tblW w:w="5136"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451"/>
        <w:gridCol w:w="1026"/>
        <w:gridCol w:w="270"/>
        <w:gridCol w:w="961"/>
        <w:gridCol w:w="1142"/>
        <w:gridCol w:w="914"/>
        <w:gridCol w:w="1092"/>
        <w:gridCol w:w="684"/>
        <w:gridCol w:w="265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2" w:hRule="exact"/>
        </w:trPr>
        <w:tc>
          <w:tcPr>
            <w:tcW w:w="246" w:type="pct"/>
            <w:vAlign w:val="center"/>
          </w:tcPr>
          <w:p>
            <w:pPr>
              <w:pStyle w:val="53"/>
            </w:pPr>
            <w:r>
              <w:t>序号</w:t>
            </w:r>
          </w:p>
        </w:tc>
        <w:tc>
          <w:tcPr>
            <w:tcW w:w="1849" w:type="pct"/>
            <w:gridSpan w:val="4"/>
            <w:vAlign w:val="center"/>
          </w:tcPr>
          <w:p>
            <w:pPr>
              <w:pStyle w:val="53"/>
            </w:pPr>
            <w:r>
              <w:t>指标名称</w:t>
            </w:r>
          </w:p>
        </w:tc>
        <w:tc>
          <w:tcPr>
            <w:tcW w:w="497" w:type="pct"/>
            <w:vAlign w:val="center"/>
          </w:tcPr>
          <w:p>
            <w:pPr>
              <w:pStyle w:val="53"/>
            </w:pPr>
            <w:r>
              <w:t>层数</w:t>
            </w:r>
          </w:p>
        </w:tc>
        <w:tc>
          <w:tcPr>
            <w:tcW w:w="594" w:type="pct"/>
            <w:vAlign w:val="center"/>
          </w:tcPr>
          <w:p>
            <w:pPr>
              <w:pStyle w:val="53"/>
            </w:pPr>
            <w:r>
              <w:t>数据</w:t>
            </w:r>
          </w:p>
        </w:tc>
        <w:tc>
          <w:tcPr>
            <w:tcW w:w="372" w:type="pct"/>
            <w:vAlign w:val="center"/>
          </w:tcPr>
          <w:p>
            <w:pPr>
              <w:pStyle w:val="53"/>
            </w:pPr>
            <w:r>
              <w:t>单位</w:t>
            </w:r>
          </w:p>
        </w:tc>
        <w:tc>
          <w:tcPr>
            <w:tcW w:w="1442" w:type="pct"/>
            <w:vAlign w:val="center"/>
          </w:tcPr>
          <w:p>
            <w:pPr>
              <w:pStyle w:val="53"/>
            </w:pPr>
            <w: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4" w:hRule="exact"/>
        </w:trPr>
        <w:tc>
          <w:tcPr>
            <w:tcW w:w="5000" w:type="pct"/>
            <w:gridSpan w:val="9"/>
            <w:vAlign w:val="center"/>
          </w:tcPr>
          <w:p>
            <w:pPr>
              <w:pStyle w:val="53"/>
            </w:pPr>
            <w:r>
              <w:t>主要技术指标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4" w:hRule="exact"/>
        </w:trPr>
        <w:tc>
          <w:tcPr>
            <w:tcW w:w="246" w:type="pct"/>
            <w:vAlign w:val="center"/>
          </w:tcPr>
          <w:p>
            <w:pPr>
              <w:pStyle w:val="53"/>
            </w:pPr>
            <w:r>
              <w:t>1</w:t>
            </w:r>
          </w:p>
        </w:tc>
        <w:tc>
          <w:tcPr>
            <w:tcW w:w="1849" w:type="pct"/>
            <w:gridSpan w:val="4"/>
            <w:vAlign w:val="center"/>
          </w:tcPr>
          <w:p>
            <w:pPr>
              <w:pStyle w:val="53"/>
            </w:pPr>
            <w:r>
              <w:t>规划总用地面积</w:t>
            </w:r>
          </w:p>
        </w:tc>
        <w:tc>
          <w:tcPr>
            <w:tcW w:w="497" w:type="pct"/>
            <w:vAlign w:val="center"/>
          </w:tcPr>
          <w:p>
            <w:pPr>
              <w:pStyle w:val="53"/>
            </w:pPr>
            <w:r>
              <w:t>--</w:t>
            </w:r>
          </w:p>
        </w:tc>
        <w:tc>
          <w:tcPr>
            <w:tcW w:w="594" w:type="pct"/>
            <w:vAlign w:val="center"/>
          </w:tcPr>
          <w:p>
            <w:pPr>
              <w:pStyle w:val="53"/>
            </w:pPr>
            <w:r>
              <w:t>4.84</w:t>
            </w:r>
          </w:p>
        </w:tc>
        <w:tc>
          <w:tcPr>
            <w:tcW w:w="372" w:type="pct"/>
            <w:vAlign w:val="center"/>
          </w:tcPr>
          <w:p>
            <w:pPr>
              <w:pStyle w:val="53"/>
            </w:pPr>
            <w:r>
              <w:t>hm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69" w:hRule="exact"/>
        </w:trPr>
        <w:tc>
          <w:tcPr>
            <w:tcW w:w="246" w:type="pct"/>
            <w:vAlign w:val="center"/>
          </w:tcPr>
          <w:p>
            <w:pPr>
              <w:pStyle w:val="53"/>
            </w:pPr>
            <w:r>
              <w:t>2</w:t>
            </w:r>
          </w:p>
        </w:tc>
        <w:tc>
          <w:tcPr>
            <w:tcW w:w="1849" w:type="pct"/>
            <w:gridSpan w:val="4"/>
            <w:vAlign w:val="center"/>
          </w:tcPr>
          <w:p>
            <w:pPr>
              <w:pStyle w:val="53"/>
            </w:pPr>
            <w:r>
              <w:t>地上建筑面积</w:t>
            </w:r>
          </w:p>
        </w:tc>
        <w:tc>
          <w:tcPr>
            <w:tcW w:w="497" w:type="pct"/>
            <w:vAlign w:val="center"/>
          </w:tcPr>
          <w:p>
            <w:pPr>
              <w:pStyle w:val="53"/>
            </w:pPr>
            <w:r>
              <w:t>--</w:t>
            </w:r>
          </w:p>
        </w:tc>
        <w:tc>
          <w:tcPr>
            <w:tcW w:w="594" w:type="pct"/>
            <w:vAlign w:val="center"/>
          </w:tcPr>
          <w:p>
            <w:pPr>
              <w:pStyle w:val="53"/>
            </w:pPr>
            <w:r>
              <w:t>184280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46" w:type="pct"/>
            <w:vMerge w:val="restart"/>
            <w:vAlign w:val="center"/>
          </w:tcPr>
          <w:p>
            <w:pPr>
              <w:pStyle w:val="53"/>
            </w:pPr>
            <w:r>
              <w:t>其中</w:t>
            </w:r>
          </w:p>
        </w:tc>
        <w:tc>
          <w:tcPr>
            <w:tcW w:w="558" w:type="pct"/>
            <w:vMerge w:val="restart"/>
            <w:vAlign w:val="center"/>
          </w:tcPr>
          <w:p>
            <w:pPr>
              <w:pStyle w:val="53"/>
            </w:pPr>
            <w:r>
              <w:t>地上：</w:t>
            </w:r>
          </w:p>
        </w:tc>
        <w:tc>
          <w:tcPr>
            <w:tcW w:w="670" w:type="pct"/>
            <w:gridSpan w:val="2"/>
            <w:vAlign w:val="center"/>
          </w:tcPr>
          <w:p>
            <w:pPr>
              <w:pStyle w:val="53"/>
            </w:pPr>
            <w:r>
              <w:t>住宅</w:t>
            </w:r>
          </w:p>
        </w:tc>
        <w:tc>
          <w:tcPr>
            <w:tcW w:w="621" w:type="pct"/>
            <w:vAlign w:val="center"/>
          </w:tcPr>
          <w:p>
            <w:pPr>
              <w:pStyle w:val="53"/>
            </w:pPr>
            <w:r>
              <w:t>高层</w:t>
            </w:r>
          </w:p>
          <w:p>
            <w:pPr>
              <w:pStyle w:val="53"/>
            </w:pPr>
            <w:r>
              <w:t>住宅</w:t>
            </w:r>
          </w:p>
        </w:tc>
        <w:tc>
          <w:tcPr>
            <w:tcW w:w="497" w:type="pct"/>
            <w:vAlign w:val="center"/>
          </w:tcPr>
          <w:p>
            <w:pPr>
              <w:pStyle w:val="53"/>
            </w:pPr>
            <w:r>
              <w:t>24~45</w:t>
            </w:r>
          </w:p>
        </w:tc>
        <w:tc>
          <w:tcPr>
            <w:tcW w:w="594" w:type="pct"/>
            <w:vAlign w:val="center"/>
          </w:tcPr>
          <w:p>
            <w:pPr>
              <w:pStyle w:val="53"/>
            </w:pPr>
            <w:r>
              <w:t>176730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246" w:type="pct"/>
            <w:vMerge w:val="continue"/>
            <w:vAlign w:val="center"/>
          </w:tcPr>
          <w:p>
            <w:pPr>
              <w:pStyle w:val="53"/>
            </w:pPr>
          </w:p>
        </w:tc>
        <w:tc>
          <w:tcPr>
            <w:tcW w:w="558" w:type="pct"/>
            <w:vMerge w:val="continue"/>
            <w:vAlign w:val="center"/>
          </w:tcPr>
          <w:p>
            <w:pPr>
              <w:pStyle w:val="53"/>
            </w:pPr>
          </w:p>
        </w:tc>
        <w:tc>
          <w:tcPr>
            <w:tcW w:w="1291" w:type="pct"/>
            <w:gridSpan w:val="3"/>
            <w:vAlign w:val="center"/>
          </w:tcPr>
          <w:p>
            <w:pPr>
              <w:pStyle w:val="53"/>
            </w:pPr>
            <w:r>
              <w:t>商业</w:t>
            </w:r>
          </w:p>
        </w:tc>
        <w:tc>
          <w:tcPr>
            <w:tcW w:w="497" w:type="pct"/>
            <w:vAlign w:val="center"/>
          </w:tcPr>
          <w:p>
            <w:pPr>
              <w:pStyle w:val="53"/>
            </w:pPr>
            <w:r>
              <w:t>/</w:t>
            </w:r>
          </w:p>
        </w:tc>
        <w:tc>
          <w:tcPr>
            <w:tcW w:w="594" w:type="pct"/>
            <w:vAlign w:val="center"/>
          </w:tcPr>
          <w:p>
            <w:pPr>
              <w:pStyle w:val="53"/>
            </w:pPr>
            <w:r>
              <w:t>7550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6" w:type="pct"/>
            <w:vMerge w:val="continue"/>
            <w:vAlign w:val="center"/>
          </w:tcPr>
          <w:p>
            <w:pPr>
              <w:pStyle w:val="53"/>
            </w:pPr>
          </w:p>
        </w:tc>
        <w:tc>
          <w:tcPr>
            <w:tcW w:w="705" w:type="pct"/>
            <w:gridSpan w:val="2"/>
            <w:vAlign w:val="center"/>
          </w:tcPr>
          <w:p>
            <w:pPr>
              <w:pStyle w:val="53"/>
            </w:pPr>
            <w:r>
              <w:t>地下：</w:t>
            </w:r>
          </w:p>
        </w:tc>
        <w:tc>
          <w:tcPr>
            <w:tcW w:w="1144" w:type="pct"/>
            <w:gridSpan w:val="2"/>
            <w:vAlign w:val="center"/>
          </w:tcPr>
          <w:p>
            <w:pPr>
              <w:pStyle w:val="53"/>
            </w:pPr>
            <w:r>
              <w:t>人防车库</w:t>
            </w:r>
          </w:p>
        </w:tc>
        <w:tc>
          <w:tcPr>
            <w:tcW w:w="497" w:type="pct"/>
            <w:vAlign w:val="center"/>
          </w:tcPr>
          <w:p>
            <w:pPr>
              <w:pStyle w:val="53"/>
            </w:pPr>
            <w:r>
              <w:t>1</w:t>
            </w:r>
          </w:p>
        </w:tc>
        <w:tc>
          <w:tcPr>
            <w:tcW w:w="594" w:type="pct"/>
            <w:vAlign w:val="center"/>
          </w:tcPr>
          <w:p>
            <w:pPr>
              <w:pStyle w:val="53"/>
            </w:pPr>
            <w:r>
              <w:t>41250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3</w:t>
            </w:r>
          </w:p>
        </w:tc>
        <w:tc>
          <w:tcPr>
            <w:tcW w:w="1849" w:type="pct"/>
            <w:gridSpan w:val="4"/>
            <w:vAlign w:val="center"/>
          </w:tcPr>
          <w:p>
            <w:pPr>
              <w:pStyle w:val="53"/>
            </w:pPr>
            <w:r>
              <w:t>架空层建筑面积</w:t>
            </w:r>
          </w:p>
        </w:tc>
        <w:tc>
          <w:tcPr>
            <w:tcW w:w="497" w:type="pct"/>
            <w:vAlign w:val="center"/>
          </w:tcPr>
          <w:p>
            <w:pPr>
              <w:pStyle w:val="53"/>
            </w:pPr>
            <w:r>
              <w:t>1</w:t>
            </w:r>
          </w:p>
        </w:tc>
        <w:tc>
          <w:tcPr>
            <w:tcW w:w="594" w:type="pct"/>
            <w:vAlign w:val="center"/>
          </w:tcPr>
          <w:p>
            <w:pPr>
              <w:pStyle w:val="53"/>
            </w:pPr>
            <w:r>
              <w:t>3260</w:t>
            </w:r>
          </w:p>
        </w:tc>
        <w:tc>
          <w:tcPr>
            <w:tcW w:w="372" w:type="pct"/>
            <w:vAlign w:val="center"/>
          </w:tcPr>
          <w:p>
            <w:pPr>
              <w:pStyle w:val="53"/>
            </w:pPr>
            <w:r>
              <w:t>m</w:t>
            </w:r>
            <w:r>
              <w:rPr>
                <w:rFonts w:hint="eastAsia"/>
                <w:sz w:val="24"/>
                <w:vertAlign w:val="superscript"/>
              </w:rPr>
              <w:t>2</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4</w:t>
            </w:r>
          </w:p>
        </w:tc>
        <w:tc>
          <w:tcPr>
            <w:tcW w:w="1849" w:type="pct"/>
            <w:gridSpan w:val="4"/>
            <w:vAlign w:val="center"/>
          </w:tcPr>
          <w:p>
            <w:pPr>
              <w:pStyle w:val="53"/>
            </w:pPr>
            <w:r>
              <w:t>建筑密度</w:t>
            </w:r>
          </w:p>
        </w:tc>
        <w:tc>
          <w:tcPr>
            <w:tcW w:w="497" w:type="pct"/>
            <w:vAlign w:val="center"/>
          </w:tcPr>
          <w:p>
            <w:pPr>
              <w:pStyle w:val="53"/>
            </w:pPr>
            <w:r>
              <w:t>--</w:t>
            </w:r>
          </w:p>
        </w:tc>
        <w:tc>
          <w:tcPr>
            <w:tcW w:w="594" w:type="pct"/>
            <w:vAlign w:val="center"/>
          </w:tcPr>
          <w:p>
            <w:pPr>
              <w:pStyle w:val="53"/>
            </w:pPr>
            <w:r>
              <w:t>19.6</w:t>
            </w:r>
          </w:p>
        </w:tc>
        <w:tc>
          <w:tcPr>
            <w:tcW w:w="372" w:type="pct"/>
            <w:vAlign w:val="center"/>
          </w:tcPr>
          <w:p>
            <w:pPr>
              <w:pStyle w:val="53"/>
            </w:pPr>
            <w:r>
              <w:t>%</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5</w:t>
            </w:r>
          </w:p>
        </w:tc>
        <w:tc>
          <w:tcPr>
            <w:tcW w:w="1849" w:type="pct"/>
            <w:gridSpan w:val="4"/>
            <w:vAlign w:val="center"/>
          </w:tcPr>
          <w:p>
            <w:pPr>
              <w:pStyle w:val="53"/>
            </w:pPr>
            <w:r>
              <w:t>建筑容积率</w:t>
            </w:r>
          </w:p>
        </w:tc>
        <w:tc>
          <w:tcPr>
            <w:tcW w:w="497" w:type="pct"/>
            <w:vAlign w:val="center"/>
          </w:tcPr>
          <w:p>
            <w:pPr>
              <w:pStyle w:val="53"/>
            </w:pPr>
            <w:r>
              <w:t>--</w:t>
            </w:r>
          </w:p>
        </w:tc>
        <w:tc>
          <w:tcPr>
            <w:tcW w:w="594" w:type="pct"/>
            <w:vAlign w:val="center"/>
          </w:tcPr>
          <w:p>
            <w:pPr>
              <w:pStyle w:val="53"/>
            </w:pPr>
            <w:r>
              <w:t>3.80</w:t>
            </w:r>
          </w:p>
        </w:tc>
        <w:tc>
          <w:tcPr>
            <w:tcW w:w="372" w:type="pct"/>
            <w:vAlign w:val="center"/>
          </w:tcPr>
          <w:p>
            <w:pPr>
              <w:pStyle w:val="53"/>
            </w:pPr>
            <w:r>
              <w:t>--</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6</w:t>
            </w:r>
          </w:p>
        </w:tc>
        <w:tc>
          <w:tcPr>
            <w:tcW w:w="1849" w:type="pct"/>
            <w:gridSpan w:val="4"/>
            <w:vAlign w:val="center"/>
          </w:tcPr>
          <w:p>
            <w:pPr>
              <w:pStyle w:val="53"/>
            </w:pPr>
            <w:r>
              <w:t>机动车停车位</w:t>
            </w:r>
          </w:p>
        </w:tc>
        <w:tc>
          <w:tcPr>
            <w:tcW w:w="497" w:type="pct"/>
            <w:vAlign w:val="center"/>
          </w:tcPr>
          <w:p>
            <w:pPr>
              <w:pStyle w:val="53"/>
            </w:pPr>
            <w:r>
              <w:t>--</w:t>
            </w:r>
          </w:p>
        </w:tc>
        <w:tc>
          <w:tcPr>
            <w:tcW w:w="594" w:type="pct"/>
            <w:vAlign w:val="center"/>
          </w:tcPr>
          <w:p>
            <w:pPr>
              <w:pStyle w:val="53"/>
            </w:pPr>
            <w:r>
              <w:t>1064</w:t>
            </w:r>
          </w:p>
        </w:tc>
        <w:tc>
          <w:tcPr>
            <w:tcW w:w="372" w:type="pct"/>
            <w:vAlign w:val="center"/>
          </w:tcPr>
          <w:p>
            <w:pPr>
              <w:pStyle w:val="53"/>
            </w:pPr>
            <w:r>
              <w:t>辆</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Merge w:val="restart"/>
            <w:vAlign w:val="center"/>
          </w:tcPr>
          <w:p>
            <w:pPr>
              <w:pStyle w:val="53"/>
            </w:pPr>
            <w:r>
              <w:t>其中</w:t>
            </w:r>
          </w:p>
        </w:tc>
        <w:tc>
          <w:tcPr>
            <w:tcW w:w="1849" w:type="pct"/>
            <w:gridSpan w:val="4"/>
            <w:vAlign w:val="center"/>
          </w:tcPr>
          <w:p>
            <w:pPr>
              <w:pStyle w:val="53"/>
            </w:pPr>
            <w:r>
              <w:t>地面停车位</w:t>
            </w:r>
          </w:p>
        </w:tc>
        <w:tc>
          <w:tcPr>
            <w:tcW w:w="497" w:type="pct"/>
            <w:vAlign w:val="center"/>
          </w:tcPr>
          <w:p>
            <w:pPr>
              <w:pStyle w:val="53"/>
            </w:pPr>
            <w:r>
              <w:t>--</w:t>
            </w:r>
          </w:p>
        </w:tc>
        <w:tc>
          <w:tcPr>
            <w:tcW w:w="594" w:type="pct"/>
            <w:vAlign w:val="center"/>
          </w:tcPr>
          <w:p>
            <w:pPr>
              <w:pStyle w:val="53"/>
            </w:pPr>
            <w:r>
              <w:t>154</w:t>
            </w:r>
          </w:p>
        </w:tc>
        <w:tc>
          <w:tcPr>
            <w:tcW w:w="372" w:type="pct"/>
            <w:vAlign w:val="center"/>
          </w:tcPr>
          <w:p>
            <w:pPr>
              <w:pStyle w:val="53"/>
            </w:pPr>
            <w:r>
              <w:t>辆</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Merge w:val="continue"/>
            <w:vAlign w:val="center"/>
          </w:tcPr>
          <w:p>
            <w:pPr>
              <w:pStyle w:val="53"/>
            </w:pPr>
          </w:p>
        </w:tc>
        <w:tc>
          <w:tcPr>
            <w:tcW w:w="1849" w:type="pct"/>
            <w:gridSpan w:val="4"/>
            <w:vAlign w:val="center"/>
          </w:tcPr>
          <w:p>
            <w:pPr>
              <w:pStyle w:val="53"/>
            </w:pPr>
            <w:r>
              <w:t>地下停车位</w:t>
            </w:r>
          </w:p>
        </w:tc>
        <w:tc>
          <w:tcPr>
            <w:tcW w:w="497" w:type="pct"/>
            <w:vAlign w:val="center"/>
          </w:tcPr>
          <w:p>
            <w:pPr>
              <w:pStyle w:val="53"/>
            </w:pPr>
            <w:r>
              <w:t>--</w:t>
            </w:r>
          </w:p>
        </w:tc>
        <w:tc>
          <w:tcPr>
            <w:tcW w:w="594" w:type="pct"/>
            <w:vAlign w:val="center"/>
          </w:tcPr>
          <w:p>
            <w:pPr>
              <w:pStyle w:val="53"/>
            </w:pPr>
            <w:r>
              <w:t>910</w:t>
            </w:r>
          </w:p>
        </w:tc>
        <w:tc>
          <w:tcPr>
            <w:tcW w:w="372" w:type="pct"/>
            <w:vAlign w:val="center"/>
          </w:tcPr>
          <w:p>
            <w:pPr>
              <w:pStyle w:val="53"/>
            </w:pPr>
            <w:r>
              <w:t>辆</w:t>
            </w:r>
          </w:p>
        </w:tc>
        <w:tc>
          <w:tcPr>
            <w:tcW w:w="1442" w:type="pct"/>
            <w:vAlign w:val="center"/>
          </w:tcPr>
          <w:p>
            <w:pPr>
              <w:pStyle w:val="53"/>
            </w:pPr>
            <w:r>
              <w:t>位于地下一层</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7</w:t>
            </w:r>
          </w:p>
        </w:tc>
        <w:tc>
          <w:tcPr>
            <w:tcW w:w="1849" w:type="pct"/>
            <w:gridSpan w:val="4"/>
            <w:vAlign w:val="center"/>
          </w:tcPr>
          <w:p>
            <w:pPr>
              <w:pStyle w:val="53"/>
            </w:pPr>
            <w:r>
              <w:t>入住总户数</w:t>
            </w:r>
          </w:p>
        </w:tc>
        <w:tc>
          <w:tcPr>
            <w:tcW w:w="497" w:type="pct"/>
            <w:vAlign w:val="center"/>
          </w:tcPr>
          <w:p>
            <w:pPr>
              <w:pStyle w:val="53"/>
            </w:pPr>
            <w:r>
              <w:t>--</w:t>
            </w:r>
          </w:p>
        </w:tc>
        <w:tc>
          <w:tcPr>
            <w:tcW w:w="594" w:type="pct"/>
            <w:vAlign w:val="center"/>
          </w:tcPr>
          <w:p>
            <w:pPr>
              <w:pStyle w:val="53"/>
            </w:pPr>
            <w:r>
              <w:t>1431</w:t>
            </w:r>
          </w:p>
        </w:tc>
        <w:tc>
          <w:tcPr>
            <w:tcW w:w="372" w:type="pct"/>
            <w:vAlign w:val="center"/>
          </w:tcPr>
          <w:p>
            <w:pPr>
              <w:pStyle w:val="53"/>
            </w:pPr>
            <w:r>
              <w:t>户</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8</w:t>
            </w:r>
          </w:p>
        </w:tc>
        <w:tc>
          <w:tcPr>
            <w:tcW w:w="1849" w:type="pct"/>
            <w:gridSpan w:val="4"/>
            <w:vAlign w:val="center"/>
          </w:tcPr>
          <w:p>
            <w:pPr>
              <w:pStyle w:val="53"/>
            </w:pPr>
            <w:r>
              <w:t>绿地率</w:t>
            </w:r>
          </w:p>
        </w:tc>
        <w:tc>
          <w:tcPr>
            <w:tcW w:w="497" w:type="pct"/>
            <w:vAlign w:val="center"/>
          </w:tcPr>
          <w:p>
            <w:pPr>
              <w:pStyle w:val="53"/>
            </w:pPr>
            <w:r>
              <w:t>--</w:t>
            </w:r>
          </w:p>
        </w:tc>
        <w:tc>
          <w:tcPr>
            <w:tcW w:w="594" w:type="pct"/>
            <w:vAlign w:val="center"/>
          </w:tcPr>
          <w:p>
            <w:pPr>
              <w:pStyle w:val="53"/>
            </w:pPr>
            <w:r>
              <w:t>35.6</w:t>
            </w:r>
          </w:p>
        </w:tc>
        <w:tc>
          <w:tcPr>
            <w:tcW w:w="372" w:type="pct"/>
            <w:vAlign w:val="center"/>
          </w:tcPr>
          <w:p>
            <w:pPr>
              <w:pStyle w:val="53"/>
            </w:pPr>
            <w:r>
              <w:t>%</w:t>
            </w:r>
          </w:p>
        </w:tc>
        <w:tc>
          <w:tcPr>
            <w:tcW w:w="1442" w:type="pct"/>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vAlign w:val="center"/>
          </w:tcPr>
          <w:p>
            <w:pPr>
              <w:pStyle w:val="53"/>
            </w:pPr>
            <w:r>
              <w:t>主要经济指标</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1</w:t>
            </w:r>
          </w:p>
        </w:tc>
        <w:tc>
          <w:tcPr>
            <w:tcW w:w="1849" w:type="pct"/>
            <w:gridSpan w:val="4"/>
            <w:vAlign w:val="center"/>
          </w:tcPr>
          <w:p>
            <w:pPr>
              <w:pStyle w:val="53"/>
            </w:pPr>
            <w:r>
              <w:t>项目总投资</w:t>
            </w:r>
          </w:p>
        </w:tc>
        <w:tc>
          <w:tcPr>
            <w:tcW w:w="1463" w:type="pct"/>
            <w:gridSpan w:val="3"/>
            <w:vAlign w:val="center"/>
          </w:tcPr>
          <w:p>
            <w:pPr>
              <w:pStyle w:val="53"/>
            </w:pPr>
            <w:r>
              <w:t>万元</w:t>
            </w:r>
          </w:p>
        </w:tc>
        <w:tc>
          <w:tcPr>
            <w:tcW w:w="1442" w:type="pct"/>
            <w:vAlign w:val="center"/>
          </w:tcPr>
          <w:p>
            <w:pPr>
              <w:pStyle w:val="53"/>
            </w:pPr>
            <w:r>
              <w:t>108456.6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 w:type="pct"/>
            <w:vAlign w:val="center"/>
          </w:tcPr>
          <w:p>
            <w:pPr>
              <w:pStyle w:val="53"/>
            </w:pPr>
            <w:r>
              <w:t>2</w:t>
            </w:r>
          </w:p>
        </w:tc>
        <w:tc>
          <w:tcPr>
            <w:tcW w:w="1849" w:type="pct"/>
            <w:gridSpan w:val="4"/>
            <w:vAlign w:val="center"/>
          </w:tcPr>
          <w:p>
            <w:pPr>
              <w:pStyle w:val="53"/>
            </w:pPr>
            <w:r>
              <w:t>项目土建投资</w:t>
            </w:r>
          </w:p>
        </w:tc>
        <w:tc>
          <w:tcPr>
            <w:tcW w:w="1463" w:type="pct"/>
            <w:gridSpan w:val="3"/>
            <w:vAlign w:val="center"/>
          </w:tcPr>
          <w:p>
            <w:pPr>
              <w:pStyle w:val="53"/>
            </w:pPr>
            <w:r>
              <w:t>万元</w:t>
            </w:r>
          </w:p>
        </w:tc>
        <w:tc>
          <w:tcPr>
            <w:tcW w:w="1442" w:type="pct"/>
            <w:vAlign w:val="center"/>
          </w:tcPr>
          <w:p>
            <w:pPr>
              <w:pStyle w:val="53"/>
            </w:pPr>
            <w:r>
              <w:t>88962.0</w:t>
            </w:r>
          </w:p>
        </w:tc>
      </w:tr>
    </w:tbl>
    <w:p>
      <w:pPr>
        <w:pStyle w:val="2"/>
        <w:ind w:firstLine="480"/>
        <w:rPr>
          <w:rFonts w:ascii="仿宋" w:cs="仿宋"/>
        </w:rPr>
      </w:pPr>
    </w:p>
    <w:p>
      <w:pPr>
        <w:pStyle w:val="5"/>
        <w:ind w:firstLine="562"/>
      </w:pPr>
      <w:bookmarkStart w:id="11" w:name="_Toc529379694"/>
      <w:bookmarkStart w:id="12" w:name="_Toc8191"/>
      <w:bookmarkStart w:id="13" w:name="_Toc529801381"/>
      <w:r>
        <w:t xml:space="preserve">1.1.3 </w:t>
      </w:r>
      <w:r>
        <w:rPr>
          <w:rFonts w:hint="eastAsia"/>
        </w:rPr>
        <w:t>项目组成及布置</w:t>
      </w:r>
      <w:bookmarkEnd w:id="11"/>
      <w:bookmarkEnd w:id="12"/>
      <w:bookmarkEnd w:id="13"/>
    </w:p>
    <w:p>
      <w:pPr>
        <w:pStyle w:val="6"/>
        <w:spacing w:before="156"/>
        <w:ind w:firstLine="480"/>
      </w:pPr>
      <w:r>
        <w:t>1.1.3</w:t>
      </w:r>
      <w:r>
        <w:rPr>
          <w:rFonts w:hint="eastAsia"/>
        </w:rPr>
        <w:t>.1工程内容</w:t>
      </w:r>
    </w:p>
    <w:p>
      <w:pPr>
        <w:ind w:firstLine="480"/>
      </w:pPr>
      <w:r>
        <w:t>本项目工程内容主要包括建筑物工程、道路及硬化场地及绿化工程等，项目用地18.60hm</w:t>
      </w:r>
      <w:r>
        <w:rPr>
          <w:vertAlign w:val="superscript"/>
        </w:rPr>
        <w:t>2</w:t>
      </w:r>
      <w:r>
        <w:t>（其中东区13.76hm</w:t>
      </w:r>
      <w:r>
        <w:rPr>
          <w:vertAlign w:val="superscript"/>
        </w:rPr>
        <w:t>2</w:t>
      </w:r>
      <w:r>
        <w:t>，西区4.84hm</w:t>
      </w:r>
      <w:r>
        <w:rPr>
          <w:vertAlign w:val="superscript"/>
        </w:rPr>
        <w:t>2</w:t>
      </w:r>
      <w:r>
        <w:t>），全部为永久占地，占地性质为居住用地，</w:t>
      </w:r>
    </w:p>
    <w:p>
      <w:pPr>
        <w:ind w:firstLine="480"/>
      </w:pPr>
      <w:r>
        <w:t>东区总占地13.76 hm</w:t>
      </w:r>
      <w:r>
        <w:rPr>
          <w:vertAlign w:val="superscript"/>
        </w:rPr>
        <w:t>2</w:t>
      </w:r>
      <w:r>
        <w:t>，其中建筑物工程占地3.14hm</w:t>
      </w:r>
      <w:r>
        <w:rPr>
          <w:vertAlign w:val="superscript"/>
        </w:rPr>
        <w:t>2</w:t>
      </w:r>
      <w:r>
        <w:t>，道路硬化区占地5.76hm</w:t>
      </w:r>
      <w:r>
        <w:rPr>
          <w:vertAlign w:val="superscript"/>
        </w:rPr>
        <w:t>2</w:t>
      </w:r>
      <w:r>
        <w:t>，绿化区占地4.86hm</w:t>
      </w:r>
      <w:r>
        <w:rPr>
          <w:vertAlign w:val="superscript"/>
        </w:rPr>
        <w:t>2</w:t>
      </w:r>
      <w:r>
        <w:t xml:space="preserve">，临时堆土场、施工场地、施工便道位于永久占地范围内。 </w:t>
      </w:r>
    </w:p>
    <w:p>
      <w:pPr>
        <w:ind w:firstLine="480"/>
      </w:pPr>
      <w:r>
        <w:t>西区总占地4.84hm</w:t>
      </w:r>
      <w:r>
        <w:rPr>
          <w:vertAlign w:val="superscript"/>
        </w:rPr>
        <w:t>2</w:t>
      </w:r>
      <w:r>
        <w:t>，其中建筑物工程占地0.95hm</w:t>
      </w:r>
      <w:r>
        <w:rPr>
          <w:vertAlign w:val="superscript"/>
        </w:rPr>
        <w:t>2</w:t>
      </w:r>
      <w:r>
        <w:t>，道路硬化区占地2.17hm</w:t>
      </w:r>
      <w:r>
        <w:rPr>
          <w:vertAlign w:val="superscript"/>
        </w:rPr>
        <w:t>2</w:t>
      </w:r>
      <w:r>
        <w:t>，绿化区占地1.72hm</w:t>
      </w:r>
      <w:r>
        <w:rPr>
          <w:vertAlign w:val="superscript"/>
        </w:rPr>
        <w:t>2</w:t>
      </w:r>
      <w:r>
        <w:t>，临时堆土场、施工场地、施工便道位于永久占地范围内。</w:t>
      </w:r>
    </w:p>
    <w:p>
      <w:pPr>
        <w:pStyle w:val="6"/>
        <w:spacing w:before="156"/>
        <w:ind w:firstLine="480"/>
      </w:pPr>
      <w:r>
        <w:t>1.1.3</w:t>
      </w:r>
      <w:r>
        <w:rPr>
          <w:rFonts w:hint="eastAsia"/>
        </w:rPr>
        <w:t>.2总平面布置</w:t>
      </w:r>
    </w:p>
    <w:p>
      <w:pPr>
        <w:ind w:firstLine="480"/>
      </w:pPr>
      <w:r>
        <w:t>项目地块分为东西两区，主要建筑物包括住宅楼、商业楼、公共配建楼等，地下设1层地下室，地块中部设置为中心绿化景观区，布置有广场、植物园、水池等景观节点，各节点通过步行道相接，形成较集中的绿化景观区域。小区内建筑高低错落，形成一种以小区景观中心为原点，通过建筑物高度向四周立体发散的格局。</w:t>
      </w:r>
    </w:p>
    <w:p>
      <w:pPr>
        <w:ind w:firstLine="480"/>
      </w:pPr>
      <w:r>
        <w:t>（1）东区的9栋27~32层的住宅楼（楼层高度为82.8~97.8m）主要分布在临近周边道路一侧；5栋24~26层的住宅楼（楼层高度约73.8~79.8 m）分布在东区地块中部；41栋3~4层的低密度住宅楼（楼层高度为9.9~12.3m）分布在东区地块中部和南部；幼儿园为2、3层建筑物（楼层高度约7.5m、10.8 m）位于东区东北角；物业管理位于东区地块独立商业楼的4楼，2栋2~4层独立商业楼（楼层高度为8.7~15.9m）分布在东区的西侧，地下建筑主要用作地下车库，少量为设备用房，人防工程用房，建筑面积85700m</w:t>
      </w:r>
      <w:r>
        <w:rPr>
          <w:vertAlign w:val="superscript"/>
        </w:rPr>
        <w:t>2</w:t>
      </w:r>
      <w:r>
        <w:t>，架空层建筑面积5550m</w:t>
      </w:r>
      <w:r>
        <w:rPr>
          <w:vertAlign w:val="superscript"/>
        </w:rPr>
        <w:t>2</w:t>
      </w:r>
      <w:r>
        <w:t>。</w:t>
      </w:r>
    </w:p>
    <w:p>
      <w:pPr>
        <w:ind w:firstLine="480"/>
      </w:pPr>
      <w:r>
        <w:t>（2）西区地块的2栋45层的住宅楼（楼层高度为137.7 m）位于西区北侧东西两角；6栋27~32层的住宅楼（楼层高度为82.8~97.8m）主要分布在临近周边道路一侧；2栋24~26层的住宅楼（楼层高度约73.8~79.8 m）分布在西区地块南侧；1栋独立商业楼位于地块内；地下建筑主要用作地下车库，少量为设备用房，人防工程用房，建筑面积41250m</w:t>
      </w:r>
      <w:r>
        <w:rPr>
          <w:vertAlign w:val="superscript"/>
        </w:rPr>
        <w:t>2</w:t>
      </w:r>
      <w:r>
        <w:t>，架空层建筑面积3260m</w:t>
      </w:r>
      <w:r>
        <w:rPr>
          <w:vertAlign w:val="superscript"/>
        </w:rPr>
        <w:t>2</w:t>
      </w:r>
      <w:r>
        <w:t>。项目总平面布局见图</w:t>
      </w:r>
      <w:r>
        <w:rPr>
          <w:rFonts w:hint="eastAsia"/>
        </w:rPr>
        <w:t>1-2</w:t>
      </w:r>
      <w:r>
        <w:t>。</w:t>
      </w:r>
    </w:p>
    <w:p>
      <w:pPr>
        <w:ind w:firstLine="480"/>
      </w:pPr>
      <w:r>
        <w:drawing>
          <wp:inline distT="0" distB="0" distL="0" distR="0">
            <wp:extent cx="5753100" cy="5203190"/>
            <wp:effectExtent l="0" t="0" r="0" b="0"/>
            <wp:docPr id="16" name="图片 2" descr="总平面2014-3-4_t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总平面2014-3-4_t320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3100" cy="5203190"/>
                    </a:xfrm>
                    <a:prstGeom prst="rect">
                      <a:avLst/>
                    </a:prstGeom>
                    <a:noFill/>
                    <a:ln>
                      <a:noFill/>
                    </a:ln>
                  </pic:spPr>
                </pic:pic>
              </a:graphicData>
            </a:graphic>
          </wp:inline>
        </w:drawing>
      </w:r>
    </w:p>
    <w:p>
      <w:pPr>
        <w:pStyle w:val="2"/>
        <w:ind w:firstLine="480"/>
      </w:pPr>
    </w:p>
    <w:p>
      <w:pPr>
        <w:ind w:firstLine="422"/>
        <w:jc w:val="center"/>
        <w:rPr>
          <w:b/>
          <w:sz w:val="21"/>
        </w:rPr>
      </w:pPr>
      <w:r>
        <w:rPr>
          <w:rFonts w:hint="eastAsia"/>
          <w:b/>
          <w:sz w:val="21"/>
        </w:rPr>
        <w:t xml:space="preserve">图1-2   </w:t>
      </w:r>
      <w:r>
        <w:rPr>
          <w:b/>
          <w:sz w:val="21"/>
        </w:rPr>
        <w:t>项目总平面布置图</w:t>
      </w:r>
    </w:p>
    <w:p>
      <w:pPr>
        <w:pStyle w:val="6"/>
        <w:spacing w:before="156"/>
        <w:ind w:firstLine="480"/>
      </w:pPr>
      <w:bookmarkStart w:id="14" w:name="_Toc1372"/>
      <w:bookmarkStart w:id="15" w:name="_Toc529379695"/>
      <w:bookmarkStart w:id="16" w:name="_Toc529801382"/>
      <w:r>
        <w:t>1.1.3</w:t>
      </w:r>
      <w:r>
        <w:rPr>
          <w:rFonts w:hint="eastAsia"/>
        </w:rPr>
        <w:t xml:space="preserve">.3 </w:t>
      </w:r>
      <w:bookmarkEnd w:id="14"/>
      <w:bookmarkEnd w:id="15"/>
      <w:bookmarkEnd w:id="16"/>
      <w:r>
        <w:rPr>
          <w:rFonts w:hint="eastAsia"/>
        </w:rPr>
        <w:t>竖向设计</w:t>
      </w:r>
    </w:p>
    <w:p>
      <w:pPr>
        <w:ind w:firstLine="480"/>
      </w:pPr>
      <w:r>
        <w:rPr>
          <w:rFonts w:hint="eastAsia"/>
        </w:rPr>
        <w:t>根据原始地形图，结合现场查勘，项目区场地地势平缓，项目分为东西两地块。</w:t>
      </w:r>
    </w:p>
    <w:p>
      <w:pPr>
        <w:ind w:firstLine="480"/>
      </w:pPr>
      <w:r>
        <w:rPr>
          <w:rFonts w:hint="eastAsia"/>
        </w:rPr>
        <w:t>东侧地块现状地面高程约在22.10～24.90m之间，设计标高在21.50～22.10m之间；竖向布置采用缓坡式布置，场地室外筑成地面标高顺应地形的变化，建筑物间绿地略有坡度。</w:t>
      </w:r>
    </w:p>
    <w:p>
      <w:pPr>
        <w:ind w:firstLine="480"/>
      </w:pPr>
      <w:r>
        <w:rPr>
          <w:rFonts w:hint="eastAsia"/>
        </w:rPr>
        <w:t>西侧地块现状地面高程约在20.30～22.80m之间，设计标高在21.60～22.10m之间，竖向布置采用缓坡式布置，场地室外筑成地面标高顺应地形的变化，建筑物间绿地略有坡度。</w:t>
      </w:r>
    </w:p>
    <w:p>
      <w:pPr>
        <w:ind w:firstLine="480"/>
      </w:pPr>
    </w:p>
    <w:p>
      <w:pPr>
        <w:pStyle w:val="2"/>
        <w:ind w:firstLine="480"/>
      </w:pPr>
    </w:p>
    <w:p>
      <w:pPr>
        <w:pStyle w:val="2"/>
        <w:ind w:firstLine="480"/>
      </w:pPr>
    </w:p>
    <w:p>
      <w:pPr>
        <w:pStyle w:val="6"/>
        <w:spacing w:before="156"/>
        <w:ind w:firstLine="480"/>
      </w:pPr>
      <w:bookmarkStart w:id="17" w:name="_Toc529379696"/>
      <w:bookmarkStart w:id="18" w:name="_Toc529801383"/>
      <w:bookmarkStart w:id="19" w:name="_Toc21410"/>
      <w:r>
        <w:rPr>
          <w:rFonts w:hint="eastAsia"/>
        </w:rPr>
        <w:t>1.1.3.4 地下室设计</w:t>
      </w:r>
    </w:p>
    <w:p>
      <w:pPr>
        <w:ind w:firstLine="480"/>
      </w:pPr>
      <w:r>
        <w:t>本项目东侧地块地下室均为地下1层，单层高度4.5m，实际开挖深度为5m，采用钻孔灌注支护排桩，间距1.5m，地下室总占地面积8.57hm</w:t>
      </w:r>
      <w:r>
        <w:rPr>
          <w:vertAlign w:val="superscript"/>
        </w:rPr>
        <w:t>2</w:t>
      </w:r>
      <w:r>
        <w:t xml:space="preserve">，地下室防火分类为I类，耐火等级为一级，防水等级为一级，防核武器抗力级别为核六级，下室底板采用现浇混凝土防水板，地下室顶部没有建筑物的部分顶板覆土后作为绿化场地和道路硬化设施，既节约空间又能创造良好的视觉感受，覆土厚度约1.0m，地下室底板标高约15.50-16.10m，顶板标高为20.50-21.10m。 </w:t>
      </w:r>
    </w:p>
    <w:p>
      <w:pPr>
        <w:ind w:firstLine="480"/>
      </w:pPr>
      <w:r>
        <w:t>本项目西侧地块地下室均为地下1层，单层高度4.5m，实际开挖深度为5m，采用钻孔灌注支护排桩，间距1.5m，地下室总占地面积4.13hm</w:t>
      </w:r>
      <w:r>
        <w:rPr>
          <w:vertAlign w:val="superscript"/>
        </w:rPr>
        <w:t>2</w:t>
      </w:r>
      <w:r>
        <w:t>，地下室防火分类为I类，耐火等级为一级，防水等级为一级，防核武器抗力级别为核六级，下室底板采用现浇混凝土防水板，地下室顶部没有建筑物的部分顶板覆土后作为绿化场地和道路硬化设施，既节约空间又能创造良好的视觉感受，覆土厚度约1.0m，地下室底板标高约15.60-16.10m，顶板标高为20.60-21.10m。</w:t>
      </w:r>
    </w:p>
    <w:p>
      <w:pPr>
        <w:pStyle w:val="2"/>
        <w:ind w:firstLine="480"/>
      </w:pPr>
      <w:r>
        <w:rPr>
          <w:rFonts w:hint="eastAsia"/>
        </w:rPr>
        <w:t>本项目基坑采用排桩支撑的支护方案，基坑侧壁采用帷幕隔渗，坑底采用疏干降水相结合的方法，设置了基坑排水沟和集水井，并采用提升抽排泵管对上层滞水进行集中抽排，基坑开挖施工时应进行全程监控，做好应付突发事件的准备。</w:t>
      </w:r>
    </w:p>
    <w:p>
      <w:pPr>
        <w:pStyle w:val="2"/>
        <w:ind w:firstLine="480"/>
      </w:pPr>
      <w:r>
        <w:rPr>
          <w:rFonts w:hint="eastAsia"/>
        </w:rPr>
        <w:t>排桩初步拟定为钻孔灌注桩，桩径拟定为0.7m，桩长约为10m，桩间距约为1.5m，桩约3750根（其中西区为1216根，东区为2534根）。</w:t>
      </w:r>
    </w:p>
    <w:p>
      <w:pPr>
        <w:pStyle w:val="6"/>
        <w:spacing w:before="156"/>
        <w:ind w:firstLine="480"/>
      </w:pPr>
      <w:r>
        <w:rPr>
          <w:rFonts w:hint="eastAsia"/>
        </w:rPr>
        <w:t>1.1.3.5建筑物基础设计</w:t>
      </w:r>
    </w:p>
    <w:p>
      <w:pPr>
        <w:ind w:firstLine="480"/>
      </w:pPr>
      <w:r>
        <w:t>（1）、西区的2栋45层的住宅楼（楼层高度为137.7 m）采用现浇钢筋混凝土剪力墙结构的设计使用年限为50年，建筑结构安全等级为二级，钻孔桩桩基础，桩径采用φ1000钻孔灌注桩，桩长78m，数量为71根。</w:t>
      </w:r>
    </w:p>
    <w:p>
      <w:pPr>
        <w:ind w:firstLine="480"/>
      </w:pPr>
      <w:r>
        <w:t>（2）、15栋（其中东区9栋，西区6栋）27~32层的住宅楼（楼层高度为82.8~97.8m）用现浇钢筋混凝土剪力墙结构的设计使用年限为50年，建筑结构安全等级为二级，钻孔桩桩基础，桩径采用φ800钻孔灌注桩，桩长68m，数量为1785根（其中东区1071根，西区714根）。</w:t>
      </w:r>
    </w:p>
    <w:p>
      <w:pPr>
        <w:ind w:firstLine="480"/>
      </w:pPr>
      <w:r>
        <w:t>（3）、7栋（其中东区5栋，西区2栋）24~26层的住宅楼（楼层高度约73.8~79.8 m）采用现浇钢筋混凝土剪力墙结构的设计使用年限为50年，建筑结构安全等级为二级，钻孔桩桩基础，桩径采用φ800钻孔灌注桩，桩长52m，数量为990根（其中东区707根，西区283根）。</w:t>
      </w:r>
    </w:p>
    <w:p>
      <w:pPr>
        <w:ind w:firstLine="480"/>
      </w:pPr>
      <w:r>
        <w:t>（4）、东区的41栋3~4层的低密度住宅楼（楼层高度为9.9~12.3m）和幼儿园为2、3层建筑物（楼层高度约7.5m、10.8 m）采用混凝土框架结构，为独立基础，采用C40混凝土，基础底面尺寸为b×L=3.5m×5.3m。</w:t>
      </w:r>
    </w:p>
    <w:p>
      <w:pPr>
        <w:ind w:firstLine="480"/>
      </w:pPr>
    </w:p>
    <w:p>
      <w:pPr>
        <w:pStyle w:val="6"/>
        <w:spacing w:before="156"/>
        <w:ind w:firstLine="480"/>
      </w:pPr>
      <w:r>
        <w:rPr>
          <w:rFonts w:hint="eastAsia"/>
        </w:rPr>
        <w:t>1.1.3.6 道路交通设计</w:t>
      </w:r>
    </w:p>
    <w:p>
      <w:pPr>
        <w:ind w:firstLine="480"/>
      </w:pPr>
      <w:r>
        <w:t>（1）人行、车行流线</w:t>
      </w:r>
    </w:p>
    <w:p>
      <w:pPr>
        <w:ind w:firstLine="480"/>
      </w:pPr>
      <w:r>
        <w:t>本项目共设置5个出入口，其中东、西区地块各设置一个主出入口，均设置于青菱东路的两侧，次出入口3个，西区地块设置1个次出入口，位于地块的西侧，东区地块设置2个次出入口，均位于地块的东侧。小区地下车库出入口共设置6个，西区地块出入口分别设置于小区内的北部和东部，东区地块出入口分别设置于小区内的东部和西部，本项目地下车库出入口均与小区内部的主干道相连通，且实行人车分流，以减轻小区内道路负荷，区域内主干道宽度为6m，次干道宽度为4m，混凝土路面，垫层为100mm厚级配碎石、30mm厚中砂垫层。</w:t>
      </w:r>
    </w:p>
    <w:p>
      <w:pPr>
        <w:ind w:firstLine="480"/>
      </w:pPr>
      <w:r>
        <w:t>（2）停车布局</w:t>
      </w:r>
    </w:p>
    <w:p>
      <w:pPr>
        <w:ind w:firstLine="480"/>
      </w:pPr>
      <w:r>
        <w:t>本方案停车采用地面、地下相结合的方式，地面停车位为324辆，地下停车位2684辆，地下停车位结合高层建筑设置，满足其停车配比。</w:t>
      </w:r>
    </w:p>
    <w:p>
      <w:pPr>
        <w:ind w:firstLine="480"/>
      </w:pPr>
      <w:r>
        <w:t>（3）广场及人行步道</w:t>
      </w:r>
    </w:p>
    <w:p>
      <w:pPr>
        <w:ind w:firstLine="480"/>
      </w:pPr>
      <w:r>
        <w:t>在保证道路及人行步道功能的前提下，尽量保证雨水就地入渗，减少地表径流，为城市管网减少负担，本项目的广场及人行步道采用透水砖铺装，透水砖采用规格为200×100×40mm的普通型混凝土透水砖，基层采用100mm厚透水性良好的级配碎石；面层和基层间铺设30mm厚中砂垫层。</w:t>
      </w:r>
    </w:p>
    <w:p>
      <w:pPr>
        <w:ind w:firstLine="480"/>
      </w:pPr>
    </w:p>
    <w:p>
      <w:pPr>
        <w:pStyle w:val="5"/>
        <w:ind w:firstLine="562"/>
      </w:pPr>
      <w:r>
        <w:t xml:space="preserve">1.1.4 </w:t>
      </w:r>
      <w:r>
        <w:rPr>
          <w:rFonts w:hint="eastAsia"/>
        </w:rPr>
        <w:t>施工组织及工期</w:t>
      </w:r>
      <w:bookmarkEnd w:id="17"/>
      <w:bookmarkEnd w:id="18"/>
      <w:bookmarkEnd w:id="19"/>
    </w:p>
    <w:p>
      <w:pPr>
        <w:ind w:firstLine="480"/>
      </w:pPr>
      <w:r>
        <w:t>1）施工工序</w:t>
      </w:r>
    </w:p>
    <w:p>
      <w:pPr>
        <w:ind w:firstLine="480"/>
      </w:pPr>
      <w:r>
        <w:t>本工程施工组织设计主要包括施工方法、技术措施、工程投入的主要物资机具设备进场计划、工程质量保证体系及措施、工期进度安排及保证措施、安全生产及文明施工保证措施、技术资料、施工平面布置等多个方面。</w:t>
      </w:r>
    </w:p>
    <w:p>
      <w:pPr>
        <w:ind w:firstLine="480"/>
      </w:pPr>
      <w:r>
        <w:t>总体施工顺序为：测量放线→定位放线→桩基础施工→基坑工程→承台、基础梁施工→基础土方回填→上部结构。</w:t>
      </w:r>
    </w:p>
    <w:p>
      <w:pPr>
        <w:ind w:firstLine="480"/>
      </w:pPr>
      <w:r>
        <w:t>基础工程施工顺序：平整场→地定位放线→基础施工→挖基土→承台、基础梁施工→砖基础→基础土方回填。</w:t>
      </w:r>
    </w:p>
    <w:p>
      <w:pPr>
        <w:ind w:firstLine="480"/>
      </w:pPr>
      <w:r>
        <w:t>桩基础施工顺序：桩位放线→打桩→基础挖土放坡放线→挖土→锯桩→浇筑基础垫层砼→基础放线→砌筑粉刷砖模→绑钢筋→浇筑砼。</w:t>
      </w:r>
    </w:p>
    <w:p>
      <w:pPr>
        <w:ind w:firstLine="480"/>
      </w:pPr>
      <w:r>
        <w:t>独立基础施工顺序：定位放线→人工挖土→浇砼垫层→扎承台钢筋→支模→验收钢筋→浇筑砼→人工养护→基础砌体→验收→土方分层回填。</w:t>
      </w:r>
    </w:p>
    <w:p>
      <w:pPr>
        <w:ind w:firstLine="480"/>
      </w:pPr>
      <w:r>
        <w:t>2）施工方法</w:t>
      </w:r>
    </w:p>
    <w:p>
      <w:pPr>
        <w:ind w:firstLine="480"/>
      </w:pPr>
      <w:r>
        <w:t>（1）土方工程</w:t>
      </w:r>
    </w:p>
    <w:p>
      <w:pPr>
        <w:ind w:firstLine="480"/>
      </w:pPr>
      <w:r>
        <w:t>土方工程包括土（或石）的挖掘、填筑和运输等主要施工过程，以及排水、降水、土壁支撑等准备和辅助工程。主要施工设备：推土机、挖土机、铲运机以及运输车辆等。</w:t>
      </w:r>
    </w:p>
    <w:p>
      <w:pPr>
        <w:ind w:firstLine="480"/>
        <w:rPr>
          <w:rFonts w:cs="仿宋"/>
        </w:rPr>
      </w:pPr>
      <w:r>
        <w:rPr>
          <w:rFonts w:hint="eastAsia" w:cs="仿宋"/>
          <w:kern w:val="0"/>
        </w:rPr>
        <w:t>本项目实际施工总工期为30个月，于2015年7月开工，至2017年12月竣工。</w:t>
      </w:r>
    </w:p>
    <w:p>
      <w:pPr>
        <w:pStyle w:val="5"/>
        <w:ind w:firstLine="562"/>
      </w:pPr>
      <w:bookmarkStart w:id="20" w:name="_Toc529379697"/>
      <w:bookmarkStart w:id="21" w:name="_Toc1262"/>
      <w:bookmarkStart w:id="22" w:name="_Toc529801384"/>
      <w:r>
        <w:t>1.1.5 工程投资</w:t>
      </w:r>
      <w:bookmarkEnd w:id="20"/>
      <w:bookmarkEnd w:id="21"/>
      <w:bookmarkEnd w:id="22"/>
    </w:p>
    <w:p>
      <w:pPr>
        <w:ind w:firstLine="480"/>
        <w:rPr>
          <w:rFonts w:cs="仿宋"/>
          <w:kern w:val="0"/>
        </w:rPr>
      </w:pPr>
      <w:r>
        <w:rPr>
          <w:rFonts w:hint="eastAsia" w:cs="仿宋"/>
          <w:kern w:val="0"/>
        </w:rPr>
        <w:t>本项目总投资271141.5万元，资金的主要来源为自有资金加阶段性融资，其中土建投资222405.0万元。</w:t>
      </w:r>
    </w:p>
    <w:p>
      <w:pPr>
        <w:pStyle w:val="5"/>
        <w:ind w:firstLine="562"/>
      </w:pPr>
      <w:bookmarkStart w:id="23" w:name="_Toc529379698"/>
      <w:bookmarkStart w:id="24" w:name="_Toc5926"/>
      <w:bookmarkStart w:id="25" w:name="_Toc529801385"/>
      <w:r>
        <w:t>1.1.6 工程占地</w:t>
      </w:r>
      <w:bookmarkEnd w:id="23"/>
      <w:bookmarkEnd w:id="24"/>
      <w:bookmarkEnd w:id="25"/>
    </w:p>
    <w:p>
      <w:pPr>
        <w:pStyle w:val="2"/>
        <w:ind w:firstLine="480"/>
        <w:rPr>
          <w:bCs/>
        </w:rPr>
      </w:pPr>
      <w:r>
        <w:rPr>
          <w:bCs/>
        </w:rPr>
        <w:t>本项目用地面积为18.60hm</w:t>
      </w:r>
      <w:r>
        <w:rPr>
          <w:bCs/>
          <w:vertAlign w:val="superscript"/>
        </w:rPr>
        <w:t>2</w:t>
      </w:r>
      <w:r>
        <w:rPr>
          <w:bCs/>
        </w:rPr>
        <w:t>，全部为永久占地，通过现场勘查，结合1:1000地形图测量，场区现状地貌占地类型为裸地和其他草地，规划后占地类型为居住用地，地下室开挖时采用排桩支撑的支护方案，地下室开挖线没有超出项目用地范围</w:t>
      </w:r>
      <w:r>
        <w:rPr>
          <w:rFonts w:hint="eastAsia"/>
          <w:bCs/>
        </w:rPr>
        <w:t>。</w:t>
      </w:r>
    </w:p>
    <w:p>
      <w:pPr>
        <w:pStyle w:val="2"/>
        <w:ind w:firstLine="480"/>
        <w:rPr>
          <w:rFonts w:cs="仿宋_GB2312"/>
        </w:rPr>
      </w:pPr>
      <w:r>
        <w:rPr>
          <w:rFonts w:hint="eastAsia" w:eastAsia="仿宋_GB2312" w:cs="仿宋_GB2312"/>
        </w:rPr>
        <w:t>工程占地面积及占地类型详见下表。</w:t>
      </w:r>
    </w:p>
    <w:p>
      <w:pPr>
        <w:pStyle w:val="2"/>
        <w:ind w:firstLine="482"/>
        <w:jc w:val="center"/>
        <w:rPr>
          <w:rFonts w:eastAsia="仿宋_GB2312" w:cs="仿宋_GB2312"/>
          <w:b/>
          <w:bCs/>
        </w:rPr>
      </w:pPr>
      <w:r>
        <w:rPr>
          <w:rFonts w:hint="eastAsia" w:eastAsia="仿宋_GB2312" w:cs="仿宋_GB2312"/>
          <w:b/>
          <w:bCs/>
        </w:rPr>
        <w:t>表1-2 工程土地分类面积统计表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858"/>
        <w:gridCol w:w="1224"/>
        <w:gridCol w:w="1109"/>
        <w:gridCol w:w="764"/>
        <w:gridCol w:w="1651"/>
        <w:gridCol w:w="1651"/>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2" w:type="pct"/>
            <w:gridSpan w:val="2"/>
            <w:vMerge w:val="restart"/>
            <w:shd w:val="clear" w:color="auto" w:fill="auto"/>
            <w:vAlign w:val="center"/>
          </w:tcPr>
          <w:p>
            <w:pPr>
              <w:pStyle w:val="53"/>
            </w:pPr>
            <w:r>
              <w:t>项目分区</w:t>
            </w:r>
          </w:p>
        </w:tc>
        <w:tc>
          <w:tcPr>
            <w:tcW w:w="688" w:type="pct"/>
            <w:vMerge w:val="restart"/>
            <w:shd w:val="clear" w:color="auto" w:fill="auto"/>
            <w:vAlign w:val="center"/>
          </w:tcPr>
          <w:p>
            <w:pPr>
              <w:pStyle w:val="53"/>
            </w:pPr>
            <w:r>
              <w:t>占地面积（hm</w:t>
            </w:r>
            <w:r>
              <w:rPr>
                <w:rFonts w:hint="eastAsia"/>
                <w:sz w:val="24"/>
                <w:vertAlign w:val="superscript"/>
              </w:rPr>
              <w:t>2</w:t>
            </w:r>
            <w:r>
              <w:t>）</w:t>
            </w:r>
          </w:p>
        </w:tc>
        <w:tc>
          <w:tcPr>
            <w:tcW w:w="1028" w:type="pct"/>
            <w:gridSpan w:val="2"/>
            <w:shd w:val="clear" w:color="auto" w:fill="auto"/>
            <w:vAlign w:val="center"/>
          </w:tcPr>
          <w:p>
            <w:pPr>
              <w:pStyle w:val="53"/>
            </w:pPr>
            <w:r>
              <w:t>占地性质（hm</w:t>
            </w:r>
            <w:r>
              <w:rPr>
                <w:rFonts w:hint="eastAsia"/>
                <w:sz w:val="24"/>
                <w:vertAlign w:val="superscript"/>
              </w:rPr>
              <w:t>2</w:t>
            </w:r>
            <w:r>
              <w:t>）</w:t>
            </w:r>
          </w:p>
        </w:tc>
        <w:tc>
          <w:tcPr>
            <w:tcW w:w="1852" w:type="pct"/>
            <w:gridSpan w:val="2"/>
            <w:shd w:val="clear" w:color="auto" w:fill="auto"/>
            <w:vAlign w:val="center"/>
          </w:tcPr>
          <w:p>
            <w:pPr>
              <w:pStyle w:val="53"/>
            </w:pPr>
            <w:r>
              <w:t>占地类型</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65" w:hRule="atLeast"/>
          <w:jc w:val="center"/>
        </w:trPr>
        <w:tc>
          <w:tcPr>
            <w:tcW w:w="1432" w:type="pct"/>
            <w:gridSpan w:val="2"/>
            <w:vMerge w:val="continue"/>
            <w:shd w:val="clear" w:color="auto" w:fill="auto"/>
            <w:vAlign w:val="center"/>
          </w:tcPr>
          <w:p>
            <w:pPr>
              <w:pStyle w:val="53"/>
            </w:pPr>
          </w:p>
        </w:tc>
        <w:tc>
          <w:tcPr>
            <w:tcW w:w="688" w:type="pct"/>
            <w:vMerge w:val="continue"/>
            <w:shd w:val="clear" w:color="auto" w:fill="auto"/>
            <w:vAlign w:val="center"/>
          </w:tcPr>
          <w:p>
            <w:pPr>
              <w:pStyle w:val="53"/>
            </w:pPr>
          </w:p>
        </w:tc>
        <w:tc>
          <w:tcPr>
            <w:tcW w:w="597" w:type="pct"/>
            <w:shd w:val="clear" w:color="auto" w:fill="auto"/>
            <w:vAlign w:val="center"/>
          </w:tcPr>
          <w:p>
            <w:pPr>
              <w:pStyle w:val="53"/>
            </w:pPr>
            <w:r>
              <w:t>永久</w:t>
            </w:r>
          </w:p>
          <w:p>
            <w:pPr>
              <w:pStyle w:val="53"/>
            </w:pPr>
            <w:r>
              <w:t>占地</w:t>
            </w:r>
          </w:p>
        </w:tc>
        <w:tc>
          <w:tcPr>
            <w:tcW w:w="431" w:type="pct"/>
            <w:shd w:val="clear" w:color="auto" w:fill="auto"/>
            <w:vAlign w:val="center"/>
          </w:tcPr>
          <w:p>
            <w:pPr>
              <w:pStyle w:val="53"/>
            </w:pPr>
            <w:r>
              <w:t>临时</w:t>
            </w:r>
          </w:p>
          <w:p>
            <w:pPr>
              <w:pStyle w:val="53"/>
            </w:pPr>
            <w:r>
              <w:t>占地</w:t>
            </w:r>
          </w:p>
        </w:tc>
        <w:tc>
          <w:tcPr>
            <w:tcW w:w="926" w:type="pct"/>
            <w:shd w:val="clear" w:color="auto" w:fill="auto"/>
            <w:vAlign w:val="center"/>
          </w:tcPr>
          <w:p>
            <w:pPr>
              <w:pStyle w:val="53"/>
            </w:pPr>
            <w:r>
              <w:t>裸地（现状）</w:t>
            </w:r>
          </w:p>
        </w:tc>
        <w:tc>
          <w:tcPr>
            <w:tcW w:w="926" w:type="pct"/>
            <w:vAlign w:val="center"/>
          </w:tcPr>
          <w:p>
            <w:pPr>
              <w:pStyle w:val="53"/>
            </w:pPr>
            <w:r>
              <w:t>其他草地（现状）</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shd w:val="clear" w:color="auto" w:fill="auto"/>
            <w:vAlign w:val="center"/>
          </w:tcPr>
          <w:p>
            <w:pPr>
              <w:pStyle w:val="53"/>
            </w:pPr>
            <w:r>
              <w:t>东区</w:t>
            </w:r>
          </w:p>
        </w:tc>
        <w:tc>
          <w:tcPr>
            <w:tcW w:w="1042" w:type="pct"/>
            <w:shd w:val="clear" w:color="auto" w:fill="auto"/>
            <w:vAlign w:val="center"/>
          </w:tcPr>
          <w:p>
            <w:pPr>
              <w:pStyle w:val="53"/>
            </w:pPr>
            <w:r>
              <w:t>建筑物区</w:t>
            </w:r>
          </w:p>
        </w:tc>
        <w:tc>
          <w:tcPr>
            <w:tcW w:w="688" w:type="pct"/>
            <w:shd w:val="clear" w:color="auto" w:fill="auto"/>
            <w:vAlign w:val="center"/>
          </w:tcPr>
          <w:p>
            <w:pPr>
              <w:pStyle w:val="53"/>
            </w:pPr>
            <w:r>
              <w:t>3.14</w:t>
            </w:r>
          </w:p>
        </w:tc>
        <w:tc>
          <w:tcPr>
            <w:tcW w:w="597" w:type="pct"/>
            <w:shd w:val="clear" w:color="auto" w:fill="auto"/>
            <w:vAlign w:val="center"/>
          </w:tcPr>
          <w:p>
            <w:pPr>
              <w:pStyle w:val="53"/>
            </w:pPr>
            <w:r>
              <w:t>3.14</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0.94 </w:t>
            </w:r>
          </w:p>
        </w:tc>
        <w:tc>
          <w:tcPr>
            <w:tcW w:w="926" w:type="pct"/>
          </w:tcPr>
          <w:p>
            <w:pPr>
              <w:pStyle w:val="53"/>
            </w:pPr>
            <w:r>
              <w:t xml:space="preserve">2.20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道路硬化区</w:t>
            </w:r>
          </w:p>
        </w:tc>
        <w:tc>
          <w:tcPr>
            <w:tcW w:w="688" w:type="pct"/>
            <w:shd w:val="clear" w:color="auto" w:fill="auto"/>
            <w:vAlign w:val="center"/>
          </w:tcPr>
          <w:p>
            <w:pPr>
              <w:pStyle w:val="53"/>
            </w:pPr>
            <w:r>
              <w:t>5.76</w:t>
            </w:r>
          </w:p>
        </w:tc>
        <w:tc>
          <w:tcPr>
            <w:tcW w:w="597" w:type="pct"/>
            <w:shd w:val="clear" w:color="auto" w:fill="auto"/>
            <w:vAlign w:val="center"/>
          </w:tcPr>
          <w:p>
            <w:pPr>
              <w:pStyle w:val="53"/>
            </w:pPr>
            <w:r>
              <w:t>5.76</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1.44 </w:t>
            </w:r>
          </w:p>
        </w:tc>
        <w:tc>
          <w:tcPr>
            <w:tcW w:w="926" w:type="pct"/>
          </w:tcPr>
          <w:p>
            <w:pPr>
              <w:pStyle w:val="53"/>
            </w:pPr>
            <w:r>
              <w:t xml:space="preserve">4.32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绿化区</w:t>
            </w:r>
          </w:p>
        </w:tc>
        <w:tc>
          <w:tcPr>
            <w:tcW w:w="688" w:type="pct"/>
            <w:shd w:val="clear" w:color="auto" w:fill="auto"/>
            <w:vAlign w:val="center"/>
          </w:tcPr>
          <w:p>
            <w:pPr>
              <w:pStyle w:val="53"/>
            </w:pPr>
            <w:r>
              <w:t>4.86</w:t>
            </w:r>
          </w:p>
        </w:tc>
        <w:tc>
          <w:tcPr>
            <w:tcW w:w="597" w:type="pct"/>
            <w:shd w:val="clear" w:color="auto" w:fill="auto"/>
            <w:vAlign w:val="center"/>
          </w:tcPr>
          <w:p>
            <w:pPr>
              <w:pStyle w:val="53"/>
            </w:pPr>
            <w:r>
              <w:t>4.86</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1.36 </w:t>
            </w:r>
          </w:p>
        </w:tc>
        <w:tc>
          <w:tcPr>
            <w:tcW w:w="926" w:type="pct"/>
          </w:tcPr>
          <w:p>
            <w:pPr>
              <w:pStyle w:val="53"/>
            </w:pPr>
            <w:r>
              <w:t xml:space="preserve">3.50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地下室区</w:t>
            </w:r>
          </w:p>
        </w:tc>
        <w:tc>
          <w:tcPr>
            <w:tcW w:w="688" w:type="pct"/>
            <w:shd w:val="clear" w:color="auto" w:fill="auto"/>
            <w:vAlign w:val="center"/>
          </w:tcPr>
          <w:p>
            <w:pPr>
              <w:pStyle w:val="53"/>
            </w:pPr>
            <w:r>
              <w:t>（8.57）</w:t>
            </w:r>
          </w:p>
        </w:tc>
        <w:tc>
          <w:tcPr>
            <w:tcW w:w="597" w:type="pct"/>
            <w:shd w:val="clear" w:color="auto" w:fill="auto"/>
            <w:vAlign w:val="center"/>
          </w:tcPr>
          <w:p>
            <w:pPr>
              <w:pStyle w:val="53"/>
            </w:pPr>
            <w:r>
              <w:t>（8.57）</w:t>
            </w:r>
          </w:p>
        </w:tc>
        <w:tc>
          <w:tcPr>
            <w:tcW w:w="431" w:type="pct"/>
            <w:shd w:val="clear" w:color="auto" w:fill="auto"/>
            <w:vAlign w:val="center"/>
          </w:tcPr>
          <w:p>
            <w:pPr>
              <w:pStyle w:val="53"/>
            </w:pPr>
          </w:p>
        </w:tc>
        <w:tc>
          <w:tcPr>
            <w:tcW w:w="926" w:type="pct"/>
            <w:shd w:val="clear" w:color="auto" w:fill="auto"/>
            <w:vAlign w:val="center"/>
          </w:tcPr>
          <w:p>
            <w:pPr>
              <w:pStyle w:val="53"/>
            </w:pPr>
            <w:r>
              <w:t>2.22</w:t>
            </w:r>
          </w:p>
        </w:tc>
        <w:tc>
          <w:tcPr>
            <w:tcW w:w="926" w:type="pct"/>
          </w:tcPr>
          <w:p>
            <w:pPr>
              <w:pStyle w:val="53"/>
            </w:pPr>
            <w:r>
              <w:t xml:space="preserve">6.35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1号临时堆土场</w:t>
            </w:r>
          </w:p>
        </w:tc>
        <w:tc>
          <w:tcPr>
            <w:tcW w:w="688" w:type="pct"/>
            <w:shd w:val="clear" w:color="auto" w:fill="auto"/>
            <w:vAlign w:val="center"/>
          </w:tcPr>
          <w:p>
            <w:pPr>
              <w:pStyle w:val="53"/>
            </w:pPr>
            <w:r>
              <w:t>（1.10）</w:t>
            </w:r>
          </w:p>
        </w:tc>
        <w:tc>
          <w:tcPr>
            <w:tcW w:w="597" w:type="pct"/>
            <w:shd w:val="clear" w:color="auto" w:fill="auto"/>
            <w:vAlign w:val="center"/>
          </w:tcPr>
          <w:p>
            <w:pPr>
              <w:pStyle w:val="53"/>
            </w:pPr>
            <w:r>
              <w:t>（1.10）</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0.28 </w:t>
            </w:r>
          </w:p>
        </w:tc>
        <w:tc>
          <w:tcPr>
            <w:tcW w:w="926" w:type="pct"/>
          </w:tcPr>
          <w:p>
            <w:pPr>
              <w:pStyle w:val="53"/>
            </w:pPr>
            <w:r>
              <w:t xml:space="preserve">0.82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施工场地区</w:t>
            </w:r>
          </w:p>
        </w:tc>
        <w:tc>
          <w:tcPr>
            <w:tcW w:w="688" w:type="pct"/>
            <w:shd w:val="clear" w:color="auto" w:fill="auto"/>
            <w:vAlign w:val="center"/>
          </w:tcPr>
          <w:p>
            <w:pPr>
              <w:pStyle w:val="53"/>
            </w:pPr>
            <w:r>
              <w:t>（0.25）</w:t>
            </w:r>
          </w:p>
        </w:tc>
        <w:tc>
          <w:tcPr>
            <w:tcW w:w="597" w:type="pct"/>
            <w:shd w:val="clear" w:color="auto" w:fill="auto"/>
            <w:vAlign w:val="center"/>
          </w:tcPr>
          <w:p>
            <w:pPr>
              <w:pStyle w:val="53"/>
            </w:pPr>
            <w:r>
              <w:t>（0.25）</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0.06 </w:t>
            </w:r>
          </w:p>
        </w:tc>
        <w:tc>
          <w:tcPr>
            <w:tcW w:w="926" w:type="pct"/>
          </w:tcPr>
          <w:p>
            <w:pPr>
              <w:pStyle w:val="53"/>
            </w:pPr>
            <w:r>
              <w:t xml:space="preserve">0.19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施工便道区</w:t>
            </w:r>
          </w:p>
        </w:tc>
        <w:tc>
          <w:tcPr>
            <w:tcW w:w="688" w:type="pct"/>
            <w:shd w:val="clear" w:color="auto" w:fill="auto"/>
            <w:vAlign w:val="center"/>
          </w:tcPr>
          <w:p>
            <w:pPr>
              <w:pStyle w:val="53"/>
            </w:pPr>
            <w:r>
              <w:t>（0.46）</w:t>
            </w:r>
          </w:p>
        </w:tc>
        <w:tc>
          <w:tcPr>
            <w:tcW w:w="597" w:type="pct"/>
            <w:shd w:val="clear" w:color="auto" w:fill="auto"/>
            <w:vAlign w:val="center"/>
          </w:tcPr>
          <w:p>
            <w:pPr>
              <w:pStyle w:val="53"/>
            </w:pPr>
            <w:r>
              <w:t>（0.46）</w:t>
            </w:r>
          </w:p>
        </w:tc>
        <w:tc>
          <w:tcPr>
            <w:tcW w:w="431" w:type="pct"/>
            <w:shd w:val="clear" w:color="auto" w:fill="auto"/>
            <w:vAlign w:val="center"/>
          </w:tcPr>
          <w:p>
            <w:pPr>
              <w:pStyle w:val="53"/>
            </w:pPr>
          </w:p>
        </w:tc>
        <w:tc>
          <w:tcPr>
            <w:tcW w:w="926" w:type="pct"/>
            <w:shd w:val="clear" w:color="auto" w:fill="auto"/>
            <w:vAlign w:val="center"/>
          </w:tcPr>
          <w:p>
            <w:pPr>
              <w:pStyle w:val="53"/>
            </w:pPr>
            <w:r>
              <w:t>0.20</w:t>
            </w:r>
          </w:p>
        </w:tc>
        <w:tc>
          <w:tcPr>
            <w:tcW w:w="926" w:type="pct"/>
          </w:tcPr>
          <w:p>
            <w:pPr>
              <w:pStyle w:val="53"/>
            </w:pPr>
            <w:r>
              <w:t xml:space="preserve">0.26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小计</w:t>
            </w:r>
          </w:p>
        </w:tc>
        <w:tc>
          <w:tcPr>
            <w:tcW w:w="688" w:type="pct"/>
            <w:shd w:val="clear" w:color="auto" w:fill="auto"/>
            <w:vAlign w:val="center"/>
          </w:tcPr>
          <w:p>
            <w:pPr>
              <w:pStyle w:val="53"/>
            </w:pPr>
            <w:r>
              <w:t>13.76</w:t>
            </w:r>
          </w:p>
        </w:tc>
        <w:tc>
          <w:tcPr>
            <w:tcW w:w="597" w:type="pct"/>
            <w:shd w:val="clear" w:color="auto" w:fill="auto"/>
            <w:vAlign w:val="center"/>
          </w:tcPr>
          <w:p>
            <w:pPr>
              <w:pStyle w:val="53"/>
            </w:pPr>
            <w:r>
              <w:t>13.76</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3.74 </w:t>
            </w:r>
          </w:p>
        </w:tc>
        <w:tc>
          <w:tcPr>
            <w:tcW w:w="926" w:type="pct"/>
            <w:vAlign w:val="center"/>
          </w:tcPr>
          <w:p>
            <w:pPr>
              <w:pStyle w:val="53"/>
            </w:pPr>
            <w:r>
              <w:t xml:space="preserve">10.02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shd w:val="clear" w:color="auto" w:fill="auto"/>
            <w:vAlign w:val="center"/>
          </w:tcPr>
          <w:p>
            <w:pPr>
              <w:pStyle w:val="53"/>
            </w:pPr>
            <w:r>
              <w:t>西区</w:t>
            </w:r>
          </w:p>
        </w:tc>
        <w:tc>
          <w:tcPr>
            <w:tcW w:w="1042" w:type="pct"/>
            <w:shd w:val="clear" w:color="auto" w:fill="auto"/>
            <w:vAlign w:val="center"/>
          </w:tcPr>
          <w:p>
            <w:pPr>
              <w:pStyle w:val="53"/>
            </w:pPr>
            <w:r>
              <w:t>建筑物区</w:t>
            </w:r>
          </w:p>
        </w:tc>
        <w:tc>
          <w:tcPr>
            <w:tcW w:w="688" w:type="pct"/>
            <w:shd w:val="clear" w:color="auto" w:fill="auto"/>
            <w:vAlign w:val="center"/>
          </w:tcPr>
          <w:p>
            <w:pPr>
              <w:pStyle w:val="53"/>
            </w:pPr>
            <w:r>
              <w:t>0.95</w:t>
            </w:r>
          </w:p>
        </w:tc>
        <w:tc>
          <w:tcPr>
            <w:tcW w:w="597" w:type="pct"/>
            <w:shd w:val="clear" w:color="auto" w:fill="auto"/>
            <w:vAlign w:val="center"/>
          </w:tcPr>
          <w:p>
            <w:pPr>
              <w:pStyle w:val="53"/>
            </w:pPr>
            <w:r>
              <w:t>0.95</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0.64 </w:t>
            </w:r>
          </w:p>
        </w:tc>
        <w:tc>
          <w:tcPr>
            <w:tcW w:w="926" w:type="pct"/>
          </w:tcPr>
          <w:p>
            <w:pPr>
              <w:pStyle w:val="53"/>
            </w:pPr>
            <w:r>
              <w:t xml:space="preserve">0.31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道路硬化区</w:t>
            </w:r>
          </w:p>
        </w:tc>
        <w:tc>
          <w:tcPr>
            <w:tcW w:w="688" w:type="pct"/>
            <w:shd w:val="clear" w:color="auto" w:fill="auto"/>
            <w:vAlign w:val="center"/>
          </w:tcPr>
          <w:p>
            <w:pPr>
              <w:pStyle w:val="53"/>
            </w:pPr>
            <w:r>
              <w:t>2.17</w:t>
            </w:r>
          </w:p>
        </w:tc>
        <w:tc>
          <w:tcPr>
            <w:tcW w:w="597" w:type="pct"/>
            <w:shd w:val="clear" w:color="auto" w:fill="auto"/>
            <w:vAlign w:val="center"/>
          </w:tcPr>
          <w:p>
            <w:pPr>
              <w:pStyle w:val="53"/>
            </w:pPr>
            <w:r>
              <w:t>2.17</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1.41 </w:t>
            </w:r>
          </w:p>
        </w:tc>
        <w:tc>
          <w:tcPr>
            <w:tcW w:w="926" w:type="pct"/>
          </w:tcPr>
          <w:p>
            <w:pPr>
              <w:pStyle w:val="53"/>
            </w:pPr>
            <w:r>
              <w:t xml:space="preserve">0.76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绿化区</w:t>
            </w:r>
          </w:p>
        </w:tc>
        <w:tc>
          <w:tcPr>
            <w:tcW w:w="688" w:type="pct"/>
            <w:shd w:val="clear" w:color="auto" w:fill="auto"/>
            <w:vAlign w:val="center"/>
          </w:tcPr>
          <w:p>
            <w:pPr>
              <w:pStyle w:val="53"/>
            </w:pPr>
            <w:r>
              <w:t>1.72</w:t>
            </w:r>
          </w:p>
        </w:tc>
        <w:tc>
          <w:tcPr>
            <w:tcW w:w="597" w:type="pct"/>
            <w:shd w:val="clear" w:color="auto" w:fill="auto"/>
            <w:vAlign w:val="center"/>
          </w:tcPr>
          <w:p>
            <w:pPr>
              <w:pStyle w:val="53"/>
            </w:pPr>
            <w:r>
              <w:t>1.72</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0.77 </w:t>
            </w:r>
          </w:p>
        </w:tc>
        <w:tc>
          <w:tcPr>
            <w:tcW w:w="926" w:type="pct"/>
          </w:tcPr>
          <w:p>
            <w:pPr>
              <w:pStyle w:val="53"/>
            </w:pPr>
            <w:r>
              <w:t xml:space="preserve">0.95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地下室区</w:t>
            </w:r>
          </w:p>
        </w:tc>
        <w:tc>
          <w:tcPr>
            <w:tcW w:w="688" w:type="pct"/>
            <w:shd w:val="clear" w:color="auto" w:fill="auto"/>
            <w:vAlign w:val="center"/>
          </w:tcPr>
          <w:p>
            <w:pPr>
              <w:pStyle w:val="53"/>
            </w:pPr>
            <w:r>
              <w:t>（4.13）</w:t>
            </w:r>
          </w:p>
        </w:tc>
        <w:tc>
          <w:tcPr>
            <w:tcW w:w="597" w:type="pct"/>
            <w:shd w:val="clear" w:color="auto" w:fill="auto"/>
            <w:vAlign w:val="center"/>
          </w:tcPr>
          <w:p>
            <w:pPr>
              <w:pStyle w:val="53"/>
            </w:pPr>
            <w:r>
              <w:t>（4.13）</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2.65 </w:t>
            </w:r>
          </w:p>
        </w:tc>
        <w:tc>
          <w:tcPr>
            <w:tcW w:w="926" w:type="pct"/>
          </w:tcPr>
          <w:p>
            <w:pPr>
              <w:pStyle w:val="53"/>
            </w:pPr>
            <w:r>
              <w:t xml:space="preserve">1.48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施工场地区</w:t>
            </w:r>
          </w:p>
        </w:tc>
        <w:tc>
          <w:tcPr>
            <w:tcW w:w="688" w:type="pct"/>
            <w:shd w:val="clear" w:color="auto" w:fill="auto"/>
            <w:vAlign w:val="center"/>
          </w:tcPr>
          <w:p>
            <w:pPr>
              <w:pStyle w:val="53"/>
            </w:pPr>
            <w:r>
              <w:t>（0.12）</w:t>
            </w:r>
          </w:p>
        </w:tc>
        <w:tc>
          <w:tcPr>
            <w:tcW w:w="597" w:type="pct"/>
            <w:shd w:val="clear" w:color="auto" w:fill="auto"/>
            <w:vAlign w:val="center"/>
          </w:tcPr>
          <w:p>
            <w:pPr>
              <w:pStyle w:val="53"/>
            </w:pPr>
            <w:r>
              <w:t>（0.12）</w:t>
            </w:r>
          </w:p>
        </w:tc>
        <w:tc>
          <w:tcPr>
            <w:tcW w:w="431" w:type="pct"/>
            <w:shd w:val="clear" w:color="auto" w:fill="auto"/>
            <w:vAlign w:val="center"/>
          </w:tcPr>
          <w:p>
            <w:pPr>
              <w:pStyle w:val="53"/>
            </w:pPr>
          </w:p>
        </w:tc>
        <w:tc>
          <w:tcPr>
            <w:tcW w:w="926" w:type="pct"/>
            <w:shd w:val="clear" w:color="auto" w:fill="auto"/>
            <w:vAlign w:val="center"/>
          </w:tcPr>
          <w:p>
            <w:pPr>
              <w:pStyle w:val="53"/>
            </w:pPr>
            <w:r>
              <w:t>0.08</w:t>
            </w:r>
          </w:p>
        </w:tc>
        <w:tc>
          <w:tcPr>
            <w:tcW w:w="926" w:type="pct"/>
          </w:tcPr>
          <w:p>
            <w:pPr>
              <w:pStyle w:val="53"/>
            </w:pPr>
            <w:r>
              <w:t>0.04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2号临时堆土场</w:t>
            </w:r>
          </w:p>
        </w:tc>
        <w:tc>
          <w:tcPr>
            <w:tcW w:w="688" w:type="pct"/>
            <w:shd w:val="clear" w:color="auto" w:fill="auto"/>
            <w:vAlign w:val="center"/>
          </w:tcPr>
          <w:p>
            <w:pPr>
              <w:pStyle w:val="53"/>
            </w:pPr>
            <w:r>
              <w:t>（0.56）</w:t>
            </w:r>
          </w:p>
        </w:tc>
        <w:tc>
          <w:tcPr>
            <w:tcW w:w="597" w:type="pct"/>
            <w:shd w:val="clear" w:color="auto" w:fill="auto"/>
            <w:vAlign w:val="center"/>
          </w:tcPr>
          <w:p>
            <w:pPr>
              <w:pStyle w:val="53"/>
            </w:pPr>
            <w:r>
              <w:t>（0.56）</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0.36 </w:t>
            </w:r>
          </w:p>
        </w:tc>
        <w:tc>
          <w:tcPr>
            <w:tcW w:w="926" w:type="pct"/>
          </w:tcPr>
          <w:p>
            <w:pPr>
              <w:pStyle w:val="53"/>
            </w:pPr>
            <w:r>
              <w:t xml:space="preserve">0.20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施工便道区</w:t>
            </w:r>
          </w:p>
        </w:tc>
        <w:tc>
          <w:tcPr>
            <w:tcW w:w="688" w:type="pct"/>
            <w:shd w:val="clear" w:color="auto" w:fill="auto"/>
            <w:vAlign w:val="center"/>
          </w:tcPr>
          <w:p>
            <w:pPr>
              <w:pStyle w:val="53"/>
            </w:pPr>
            <w:r>
              <w:t>（0.30）</w:t>
            </w:r>
          </w:p>
        </w:tc>
        <w:tc>
          <w:tcPr>
            <w:tcW w:w="597" w:type="pct"/>
            <w:shd w:val="clear" w:color="auto" w:fill="auto"/>
            <w:vAlign w:val="center"/>
          </w:tcPr>
          <w:p>
            <w:pPr>
              <w:pStyle w:val="53"/>
            </w:pPr>
            <w:r>
              <w:t>（0.30）</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0.13 </w:t>
            </w:r>
          </w:p>
        </w:tc>
        <w:tc>
          <w:tcPr>
            <w:tcW w:w="926" w:type="pct"/>
          </w:tcPr>
          <w:p>
            <w:pPr>
              <w:pStyle w:val="53"/>
            </w:pPr>
            <w:r>
              <w:t xml:space="preserve">0.17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小计</w:t>
            </w:r>
          </w:p>
        </w:tc>
        <w:tc>
          <w:tcPr>
            <w:tcW w:w="688" w:type="pct"/>
            <w:shd w:val="clear" w:color="auto" w:fill="auto"/>
            <w:vAlign w:val="center"/>
          </w:tcPr>
          <w:p>
            <w:pPr>
              <w:pStyle w:val="53"/>
            </w:pPr>
            <w:r>
              <w:t>4.84</w:t>
            </w:r>
          </w:p>
        </w:tc>
        <w:tc>
          <w:tcPr>
            <w:tcW w:w="597" w:type="pct"/>
            <w:shd w:val="clear" w:color="auto" w:fill="auto"/>
            <w:vAlign w:val="center"/>
          </w:tcPr>
          <w:p>
            <w:pPr>
              <w:pStyle w:val="53"/>
            </w:pPr>
            <w:r>
              <w:t>4.84</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2.82 </w:t>
            </w:r>
          </w:p>
        </w:tc>
        <w:tc>
          <w:tcPr>
            <w:tcW w:w="926" w:type="pct"/>
          </w:tcPr>
          <w:p>
            <w:pPr>
              <w:pStyle w:val="53"/>
            </w:pPr>
            <w:r>
              <w:t xml:space="preserve">2.02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restart"/>
            <w:shd w:val="clear" w:color="auto" w:fill="auto"/>
            <w:vAlign w:val="center"/>
          </w:tcPr>
          <w:p>
            <w:pPr>
              <w:pStyle w:val="53"/>
            </w:pPr>
            <w:r>
              <w:t>合计</w:t>
            </w:r>
          </w:p>
        </w:tc>
        <w:tc>
          <w:tcPr>
            <w:tcW w:w="1042" w:type="pct"/>
            <w:shd w:val="clear" w:color="auto" w:fill="auto"/>
            <w:vAlign w:val="center"/>
          </w:tcPr>
          <w:p>
            <w:pPr>
              <w:pStyle w:val="53"/>
            </w:pPr>
            <w:r>
              <w:t>建筑物区</w:t>
            </w:r>
          </w:p>
        </w:tc>
        <w:tc>
          <w:tcPr>
            <w:tcW w:w="688" w:type="pct"/>
            <w:shd w:val="clear" w:color="auto" w:fill="auto"/>
            <w:vAlign w:val="center"/>
          </w:tcPr>
          <w:p>
            <w:pPr>
              <w:pStyle w:val="53"/>
            </w:pPr>
            <w:r>
              <w:t>4.09</w:t>
            </w:r>
          </w:p>
        </w:tc>
        <w:tc>
          <w:tcPr>
            <w:tcW w:w="597" w:type="pct"/>
            <w:shd w:val="clear" w:color="auto" w:fill="auto"/>
            <w:vAlign w:val="center"/>
          </w:tcPr>
          <w:p>
            <w:pPr>
              <w:pStyle w:val="53"/>
            </w:pPr>
            <w:r>
              <w:t>4.09</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1.58 </w:t>
            </w:r>
          </w:p>
        </w:tc>
        <w:tc>
          <w:tcPr>
            <w:tcW w:w="926" w:type="pct"/>
          </w:tcPr>
          <w:p>
            <w:pPr>
              <w:pStyle w:val="53"/>
            </w:pPr>
            <w:r>
              <w:t xml:space="preserve">2.51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道路硬化区</w:t>
            </w:r>
          </w:p>
        </w:tc>
        <w:tc>
          <w:tcPr>
            <w:tcW w:w="688" w:type="pct"/>
            <w:shd w:val="clear" w:color="auto" w:fill="auto"/>
            <w:vAlign w:val="center"/>
          </w:tcPr>
          <w:p>
            <w:pPr>
              <w:pStyle w:val="53"/>
            </w:pPr>
            <w:r>
              <w:t>7.93</w:t>
            </w:r>
          </w:p>
        </w:tc>
        <w:tc>
          <w:tcPr>
            <w:tcW w:w="597" w:type="pct"/>
            <w:shd w:val="clear" w:color="auto" w:fill="auto"/>
            <w:vAlign w:val="center"/>
          </w:tcPr>
          <w:p>
            <w:pPr>
              <w:pStyle w:val="53"/>
            </w:pPr>
            <w:r>
              <w:t>7.93</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2.85 </w:t>
            </w:r>
          </w:p>
        </w:tc>
        <w:tc>
          <w:tcPr>
            <w:tcW w:w="926" w:type="pct"/>
          </w:tcPr>
          <w:p>
            <w:pPr>
              <w:pStyle w:val="53"/>
            </w:pPr>
            <w:r>
              <w:t xml:space="preserve">5.08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绿化区</w:t>
            </w:r>
          </w:p>
        </w:tc>
        <w:tc>
          <w:tcPr>
            <w:tcW w:w="688" w:type="pct"/>
            <w:shd w:val="clear" w:color="auto" w:fill="auto"/>
            <w:vAlign w:val="center"/>
          </w:tcPr>
          <w:p>
            <w:pPr>
              <w:pStyle w:val="53"/>
            </w:pPr>
            <w:r>
              <w:t>6.58</w:t>
            </w:r>
          </w:p>
        </w:tc>
        <w:tc>
          <w:tcPr>
            <w:tcW w:w="597" w:type="pct"/>
            <w:shd w:val="clear" w:color="auto" w:fill="auto"/>
            <w:vAlign w:val="center"/>
          </w:tcPr>
          <w:p>
            <w:pPr>
              <w:pStyle w:val="53"/>
            </w:pPr>
            <w:r>
              <w:t>6.58</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2.13 </w:t>
            </w:r>
          </w:p>
        </w:tc>
        <w:tc>
          <w:tcPr>
            <w:tcW w:w="926" w:type="pct"/>
          </w:tcPr>
          <w:p>
            <w:pPr>
              <w:pStyle w:val="53"/>
            </w:pPr>
            <w:r>
              <w:t xml:space="preserve">4.45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地下室区</w:t>
            </w:r>
          </w:p>
        </w:tc>
        <w:tc>
          <w:tcPr>
            <w:tcW w:w="688" w:type="pct"/>
            <w:shd w:val="clear" w:color="auto" w:fill="auto"/>
            <w:vAlign w:val="center"/>
          </w:tcPr>
          <w:p>
            <w:pPr>
              <w:pStyle w:val="53"/>
            </w:pPr>
            <w:r>
              <w:t>（12.70）</w:t>
            </w:r>
          </w:p>
        </w:tc>
        <w:tc>
          <w:tcPr>
            <w:tcW w:w="597" w:type="pct"/>
            <w:shd w:val="clear" w:color="auto" w:fill="auto"/>
            <w:vAlign w:val="center"/>
          </w:tcPr>
          <w:p>
            <w:pPr>
              <w:pStyle w:val="53"/>
            </w:pPr>
            <w:r>
              <w:t>（12.70）</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4.87 </w:t>
            </w:r>
          </w:p>
        </w:tc>
        <w:tc>
          <w:tcPr>
            <w:tcW w:w="926" w:type="pct"/>
          </w:tcPr>
          <w:p>
            <w:pPr>
              <w:pStyle w:val="53"/>
            </w:pPr>
            <w:r>
              <w:t xml:space="preserve">7.83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临时堆土场</w:t>
            </w:r>
          </w:p>
        </w:tc>
        <w:tc>
          <w:tcPr>
            <w:tcW w:w="688" w:type="pct"/>
            <w:shd w:val="clear" w:color="auto" w:fill="auto"/>
            <w:vAlign w:val="center"/>
          </w:tcPr>
          <w:p>
            <w:pPr>
              <w:pStyle w:val="53"/>
            </w:pPr>
            <w:r>
              <w:t>（1.66）</w:t>
            </w:r>
          </w:p>
        </w:tc>
        <w:tc>
          <w:tcPr>
            <w:tcW w:w="597" w:type="pct"/>
            <w:shd w:val="clear" w:color="auto" w:fill="auto"/>
            <w:vAlign w:val="center"/>
          </w:tcPr>
          <w:p>
            <w:pPr>
              <w:pStyle w:val="53"/>
            </w:pPr>
            <w:r>
              <w:t>（1.66）</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0.63 </w:t>
            </w:r>
          </w:p>
        </w:tc>
        <w:tc>
          <w:tcPr>
            <w:tcW w:w="926" w:type="pct"/>
          </w:tcPr>
          <w:p>
            <w:pPr>
              <w:pStyle w:val="53"/>
            </w:pPr>
            <w:r>
              <w:t xml:space="preserve">1.03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施工场地</w:t>
            </w:r>
          </w:p>
        </w:tc>
        <w:tc>
          <w:tcPr>
            <w:tcW w:w="688" w:type="pct"/>
            <w:shd w:val="clear" w:color="auto" w:fill="auto"/>
            <w:vAlign w:val="center"/>
          </w:tcPr>
          <w:p>
            <w:pPr>
              <w:pStyle w:val="53"/>
            </w:pPr>
            <w:r>
              <w:t>（0.37）</w:t>
            </w:r>
          </w:p>
        </w:tc>
        <w:tc>
          <w:tcPr>
            <w:tcW w:w="597" w:type="pct"/>
            <w:shd w:val="clear" w:color="auto" w:fill="auto"/>
            <w:vAlign w:val="center"/>
          </w:tcPr>
          <w:p>
            <w:pPr>
              <w:pStyle w:val="53"/>
            </w:pPr>
            <w:r>
              <w:t>（0.37）</w:t>
            </w:r>
          </w:p>
        </w:tc>
        <w:tc>
          <w:tcPr>
            <w:tcW w:w="431" w:type="pct"/>
            <w:shd w:val="clear" w:color="auto" w:fill="auto"/>
            <w:vAlign w:val="center"/>
          </w:tcPr>
          <w:p>
            <w:pPr>
              <w:pStyle w:val="53"/>
            </w:pPr>
          </w:p>
        </w:tc>
        <w:tc>
          <w:tcPr>
            <w:tcW w:w="926" w:type="pct"/>
            <w:shd w:val="clear" w:color="auto" w:fill="auto"/>
            <w:vAlign w:val="center"/>
          </w:tcPr>
          <w:p>
            <w:pPr>
              <w:pStyle w:val="53"/>
            </w:pPr>
            <w:r>
              <w:t>0.14</w:t>
            </w:r>
          </w:p>
        </w:tc>
        <w:tc>
          <w:tcPr>
            <w:tcW w:w="926" w:type="pct"/>
          </w:tcPr>
          <w:p>
            <w:pPr>
              <w:pStyle w:val="53"/>
            </w:pPr>
            <w:r>
              <w:t>0.23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施工便道区</w:t>
            </w:r>
          </w:p>
        </w:tc>
        <w:tc>
          <w:tcPr>
            <w:tcW w:w="688" w:type="pct"/>
            <w:shd w:val="clear" w:color="auto" w:fill="auto"/>
            <w:vAlign w:val="center"/>
          </w:tcPr>
          <w:p>
            <w:pPr>
              <w:pStyle w:val="53"/>
            </w:pPr>
            <w:r>
              <w:t>（0.76）</w:t>
            </w:r>
          </w:p>
        </w:tc>
        <w:tc>
          <w:tcPr>
            <w:tcW w:w="597" w:type="pct"/>
            <w:shd w:val="clear" w:color="auto" w:fill="auto"/>
            <w:vAlign w:val="center"/>
          </w:tcPr>
          <w:p>
            <w:pPr>
              <w:pStyle w:val="53"/>
            </w:pPr>
            <w:r>
              <w:t>（0.76）</w:t>
            </w:r>
          </w:p>
        </w:tc>
        <w:tc>
          <w:tcPr>
            <w:tcW w:w="431" w:type="pct"/>
            <w:shd w:val="clear" w:color="auto" w:fill="auto"/>
            <w:vAlign w:val="center"/>
          </w:tcPr>
          <w:p>
            <w:pPr>
              <w:pStyle w:val="53"/>
            </w:pPr>
          </w:p>
        </w:tc>
        <w:tc>
          <w:tcPr>
            <w:tcW w:w="926" w:type="pct"/>
            <w:shd w:val="clear" w:color="auto" w:fill="auto"/>
            <w:vAlign w:val="center"/>
          </w:tcPr>
          <w:p>
            <w:pPr>
              <w:pStyle w:val="53"/>
            </w:pPr>
            <w:r>
              <w:t>0.33</w:t>
            </w:r>
          </w:p>
        </w:tc>
        <w:tc>
          <w:tcPr>
            <w:tcW w:w="926" w:type="pct"/>
          </w:tcPr>
          <w:p>
            <w:pPr>
              <w:pStyle w:val="53"/>
            </w:pPr>
            <w:r>
              <w:t>0.43</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0" w:type="pct"/>
            <w:vMerge w:val="continue"/>
            <w:shd w:val="clear" w:color="auto" w:fill="auto"/>
            <w:vAlign w:val="center"/>
          </w:tcPr>
          <w:p>
            <w:pPr>
              <w:pStyle w:val="53"/>
            </w:pPr>
          </w:p>
        </w:tc>
        <w:tc>
          <w:tcPr>
            <w:tcW w:w="1042" w:type="pct"/>
            <w:shd w:val="clear" w:color="auto" w:fill="auto"/>
            <w:vAlign w:val="center"/>
          </w:tcPr>
          <w:p>
            <w:pPr>
              <w:pStyle w:val="53"/>
            </w:pPr>
            <w:r>
              <w:t>小计</w:t>
            </w:r>
          </w:p>
        </w:tc>
        <w:tc>
          <w:tcPr>
            <w:tcW w:w="688" w:type="pct"/>
            <w:shd w:val="clear" w:color="auto" w:fill="auto"/>
            <w:vAlign w:val="center"/>
          </w:tcPr>
          <w:p>
            <w:pPr>
              <w:pStyle w:val="53"/>
            </w:pPr>
            <w:r>
              <w:t>18.60</w:t>
            </w:r>
          </w:p>
        </w:tc>
        <w:tc>
          <w:tcPr>
            <w:tcW w:w="597" w:type="pct"/>
            <w:shd w:val="clear" w:color="auto" w:fill="auto"/>
            <w:vAlign w:val="center"/>
          </w:tcPr>
          <w:p>
            <w:pPr>
              <w:pStyle w:val="53"/>
            </w:pPr>
            <w:r>
              <w:t>18.60</w:t>
            </w:r>
          </w:p>
        </w:tc>
        <w:tc>
          <w:tcPr>
            <w:tcW w:w="431" w:type="pct"/>
            <w:shd w:val="clear" w:color="auto" w:fill="auto"/>
            <w:vAlign w:val="center"/>
          </w:tcPr>
          <w:p>
            <w:pPr>
              <w:pStyle w:val="53"/>
            </w:pPr>
          </w:p>
        </w:tc>
        <w:tc>
          <w:tcPr>
            <w:tcW w:w="926" w:type="pct"/>
            <w:shd w:val="clear" w:color="auto" w:fill="auto"/>
            <w:vAlign w:val="center"/>
          </w:tcPr>
          <w:p>
            <w:pPr>
              <w:pStyle w:val="53"/>
            </w:pPr>
            <w:r>
              <w:t xml:space="preserve">6.56 </w:t>
            </w:r>
          </w:p>
        </w:tc>
        <w:tc>
          <w:tcPr>
            <w:tcW w:w="926" w:type="pct"/>
            <w:vAlign w:val="center"/>
          </w:tcPr>
          <w:p>
            <w:pPr>
              <w:pStyle w:val="53"/>
            </w:pPr>
            <w:r>
              <w:t xml:space="preserve">12.04 </w:t>
            </w:r>
          </w:p>
        </w:tc>
      </w:tr>
    </w:tbl>
    <w:p>
      <w:pPr>
        <w:pStyle w:val="2"/>
        <w:ind w:firstLine="480"/>
      </w:pPr>
    </w:p>
    <w:p>
      <w:pPr>
        <w:pStyle w:val="5"/>
        <w:ind w:firstLine="562"/>
      </w:pPr>
      <w:bookmarkStart w:id="26" w:name="_Toc529379699"/>
      <w:bookmarkStart w:id="27" w:name="_Toc529801386"/>
      <w:bookmarkStart w:id="28" w:name="_Toc16089"/>
      <w:r>
        <w:t xml:space="preserve">1.1.7 </w:t>
      </w:r>
      <w:r>
        <w:rPr>
          <w:rFonts w:hint="eastAsia"/>
        </w:rPr>
        <w:t>土石方情况</w:t>
      </w:r>
      <w:bookmarkEnd w:id="26"/>
      <w:bookmarkEnd w:id="27"/>
      <w:bookmarkEnd w:id="28"/>
    </w:p>
    <w:p>
      <w:pPr>
        <w:pStyle w:val="2"/>
        <w:ind w:firstLine="480"/>
        <w:rPr>
          <w:lang w:val="zh-TW" w:eastAsia="zh-TW"/>
        </w:rPr>
      </w:pPr>
      <w:r>
        <w:rPr>
          <w:rFonts w:hint="eastAsia"/>
          <w:lang w:val="zh-TW" w:eastAsia="zh-TW"/>
        </w:rPr>
        <w:t>本方案依据主体设计中土石方数据及建设业主提供数据进行统计，统计工程土石方情况如下：</w:t>
      </w:r>
    </w:p>
    <w:p>
      <w:pPr>
        <w:pStyle w:val="2"/>
        <w:ind w:firstLine="480"/>
      </w:pPr>
      <w:r>
        <w:t>（1）钻孔灌注桩钻渣：地下室基坑支护钻孔桩长约10m，管径0.7m，桩约3750根（其中西区为1216根，东区为2534根），产生的钻渣量为1.44万m³（其中西区0.47万m³，东区为0.97万m³）。</w:t>
      </w:r>
    </w:p>
    <w:p>
      <w:pPr>
        <w:ind w:firstLine="480"/>
      </w:pPr>
      <w:r>
        <w:t>（2）根据主体工程基础设计，西区的2栋45层的住宅楼桩径</w:t>
      </w:r>
      <w:r>
        <w:rPr>
          <w:kern w:val="0"/>
        </w:rPr>
        <w:t>采用φ1000钻孔灌注桩</w:t>
      </w:r>
      <w:r>
        <w:t>，桩长78m，数量为71根，钻渣量为0.43万m³；6栋27~32层的住宅楼桩径</w:t>
      </w:r>
      <w:r>
        <w:rPr>
          <w:kern w:val="0"/>
        </w:rPr>
        <w:t>采用φ800钻孔灌注桩</w:t>
      </w:r>
      <w:r>
        <w:t>，桩长68m，数量为714根，钻渣量为2.44万m³；2栋24~26层的住宅楼桩径</w:t>
      </w:r>
      <w:r>
        <w:rPr>
          <w:kern w:val="0"/>
        </w:rPr>
        <w:t>采用φ800钻孔灌注桩</w:t>
      </w:r>
      <w:r>
        <w:t>，桩长52m，数量为283根，钻渣量为0.74万m³，合计钻渣量为3.61万m³。</w:t>
      </w:r>
    </w:p>
    <w:p>
      <w:pPr>
        <w:ind w:firstLine="480"/>
      </w:pPr>
      <w:r>
        <w:t>东区的9栋27~32层的住宅楼桩径</w:t>
      </w:r>
      <w:r>
        <w:rPr>
          <w:kern w:val="0"/>
        </w:rPr>
        <w:t>采用φ800钻孔灌注桩</w:t>
      </w:r>
      <w:r>
        <w:t>，桩长68m，数量为1071根，钻渣量为万3.66万m³；5栋24~26层的住宅楼桩径</w:t>
      </w:r>
      <w:r>
        <w:rPr>
          <w:kern w:val="0"/>
        </w:rPr>
        <w:t>采用φ800钻孔灌注桩</w:t>
      </w:r>
      <w:r>
        <w:t>，桩长52m，数量为707根，钻渣量为1.85万m³，合计钻渣量为5.51万m³；东区的41栋3~4层的低密度住宅楼、幼儿园为2、3层建筑物采用独立基础，独立基础挖方量6.20万m³，建筑物基础考虑20％回填量，回填量为1.24万m³。</w:t>
      </w:r>
    </w:p>
    <w:p>
      <w:pPr>
        <w:pStyle w:val="71"/>
        <w:ind w:firstLine="540" w:firstLineChars="225"/>
        <w:rPr>
          <w:bCs/>
          <w:spacing w:val="-4"/>
        </w:rPr>
      </w:pPr>
      <w:r>
        <w:rPr>
          <w:bCs/>
        </w:rPr>
        <w:t>（3）地下室土方：</w:t>
      </w:r>
      <w:r>
        <w:t>地下室总占地面积12.70hm</w:t>
      </w:r>
      <w:r>
        <w:rPr>
          <w:vertAlign w:val="superscript"/>
        </w:rPr>
        <w:t>2</w:t>
      </w:r>
      <w:r>
        <w:t>（其中西区为4.13hm</w:t>
      </w:r>
      <w:r>
        <w:rPr>
          <w:vertAlign w:val="superscript"/>
        </w:rPr>
        <w:t>2</w:t>
      </w:r>
      <w:r>
        <w:t>，东区为8.57hm</w:t>
      </w:r>
      <w:r>
        <w:rPr>
          <w:vertAlign w:val="superscript"/>
        </w:rPr>
        <w:t>2</w:t>
      </w:r>
      <w:r>
        <w:t>），</w:t>
      </w:r>
      <w:r>
        <w:rPr>
          <w:bCs/>
        </w:rPr>
        <w:t>地下1层，</w:t>
      </w:r>
      <w:r>
        <w:t>实际开挖深度为5m</w:t>
      </w:r>
      <w:r>
        <w:rPr>
          <w:bCs/>
        </w:rPr>
        <w:t>，挖方64.77万m</w:t>
      </w:r>
      <w:r>
        <w:rPr>
          <w:bCs/>
          <w:vertAlign w:val="superscript"/>
        </w:rPr>
        <w:t>3</w:t>
      </w:r>
      <w:r>
        <w:rPr>
          <w:bCs/>
        </w:rPr>
        <w:t>（考虑坑口周边放坡挖方），填方8.61万m</w:t>
      </w:r>
      <w:r>
        <w:rPr>
          <w:bCs/>
          <w:vertAlign w:val="superscript"/>
        </w:rPr>
        <w:t>3</w:t>
      </w:r>
      <w:r>
        <w:rPr>
          <w:bCs/>
        </w:rPr>
        <w:t>（地下室顶板覆土</w:t>
      </w:r>
      <w:r>
        <w:rPr>
          <w:bCs/>
          <w:spacing w:val="-4"/>
        </w:rPr>
        <w:t>1m，其中建筑物区范围不考虑顶板覆土），详见表3-7所示，表中的填方为顶板上覆土方。</w:t>
      </w:r>
    </w:p>
    <w:p>
      <w:pPr>
        <w:pStyle w:val="71"/>
        <w:ind w:firstLine="540" w:firstLineChars="225"/>
        <w:rPr>
          <w:bCs/>
          <w:spacing w:val="-4"/>
        </w:rPr>
      </w:pPr>
      <w:r>
        <w:rPr>
          <w:bCs/>
        </w:rPr>
        <w:t>（3）地下室土方：</w:t>
      </w:r>
      <w:r>
        <w:t>地下室总占地面积12.70hm</w:t>
      </w:r>
      <w:r>
        <w:rPr>
          <w:vertAlign w:val="superscript"/>
        </w:rPr>
        <w:t>2</w:t>
      </w:r>
      <w:r>
        <w:t>（其中西区为4.13hm</w:t>
      </w:r>
      <w:r>
        <w:rPr>
          <w:vertAlign w:val="superscript"/>
        </w:rPr>
        <w:t>2</w:t>
      </w:r>
      <w:r>
        <w:t>，东区为8.57hm</w:t>
      </w:r>
      <w:r>
        <w:rPr>
          <w:vertAlign w:val="superscript"/>
        </w:rPr>
        <w:t>2</w:t>
      </w:r>
      <w:r>
        <w:t>），</w:t>
      </w:r>
      <w:r>
        <w:rPr>
          <w:bCs/>
        </w:rPr>
        <w:t>地下1层，</w:t>
      </w:r>
      <w:r>
        <w:t>实际开挖深度为5m</w:t>
      </w:r>
      <w:r>
        <w:rPr>
          <w:bCs/>
        </w:rPr>
        <w:t>，挖方64.77万m</w:t>
      </w:r>
      <w:r>
        <w:rPr>
          <w:bCs/>
          <w:vertAlign w:val="superscript"/>
        </w:rPr>
        <w:t>3</w:t>
      </w:r>
      <w:r>
        <w:rPr>
          <w:bCs/>
        </w:rPr>
        <w:t>（考虑坑口周边放坡挖方），填方8.61万m</w:t>
      </w:r>
      <w:r>
        <w:rPr>
          <w:bCs/>
          <w:vertAlign w:val="superscript"/>
        </w:rPr>
        <w:t>3</w:t>
      </w:r>
      <w:r>
        <w:rPr>
          <w:bCs/>
        </w:rPr>
        <w:t>（地下室顶板覆土</w:t>
      </w:r>
      <w:r>
        <w:rPr>
          <w:bCs/>
          <w:spacing w:val="-4"/>
        </w:rPr>
        <w:t>1m，其中建筑物区范围不考虑顶板覆土），详见表3-7所示，表中的填方为顶板上覆土方。</w:t>
      </w:r>
    </w:p>
    <w:p>
      <w:pPr>
        <w:spacing w:before="156" w:beforeLines="50"/>
        <w:ind w:firstLine="480"/>
      </w:pPr>
      <w:r>
        <w:t>（4）雨污管线： 给水管线为DN300管径，管沟按1.3m×1.5m（深×宽）规格进行开挖；雨水管线为DN500管径，管沟按1.5m×2.0m（深×宽）规格进行开挖；污水管线为DN400管径，管沟按1.4m×1.8m（深×宽）规格进行开挖，挖方量为3.62万m³，填方量为3.42万m³，弃土量为0.20万m³，管线边开挖边铺管道边回填，无需进入临时堆土场中转，弃方弃往弃渣场。</w:t>
      </w:r>
    </w:p>
    <w:p>
      <w:pPr>
        <w:spacing w:before="156" w:beforeLines="50"/>
        <w:ind w:firstLine="480"/>
      </w:pPr>
      <w:r>
        <w:rPr>
          <w:bCs/>
        </w:rPr>
        <w:t>（5）场地平整：</w:t>
      </w:r>
      <w:r>
        <w:t>根据原始地形图，结合现场查勘，项目区场地地势平缓，项目分为东西两地块，东侧地块现状地面高程约在22.10～24.90m之间，设计标高在21.50～22.10m之间，挖方量较大，挖方为6.57万m³，填方为5.22万m³；西侧地块现状地面高程约在20.30～22.80m之间，设计标高在21.60～22.10m之间，挖方量较大，挖方为2.13万m³，填方为1.85万m³。</w:t>
      </w:r>
    </w:p>
    <w:p>
      <w:pPr>
        <w:pStyle w:val="2"/>
        <w:ind w:firstLine="480"/>
      </w:pPr>
      <w:r>
        <w:t>经核算，本</w:t>
      </w:r>
      <w:bookmarkStart w:id="29" w:name="OLE_LINK2"/>
      <w:bookmarkStart w:id="30" w:name="OLE_LINK1"/>
      <w:r>
        <w:t>工程</w:t>
      </w:r>
      <w:bookmarkStart w:id="31" w:name="OLE_LINK7"/>
      <w:bookmarkStart w:id="32" w:name="OLE_LINK6"/>
      <w:r>
        <w:t>总挖方93.85万m</w:t>
      </w:r>
      <w:r>
        <w:rPr>
          <w:vertAlign w:val="superscript"/>
        </w:rPr>
        <w:t>3</w:t>
      </w:r>
      <w:r>
        <w:t>，总填方20.34万m</w:t>
      </w:r>
      <w:r>
        <w:rPr>
          <w:vertAlign w:val="superscript"/>
        </w:rPr>
        <w:t>3</w:t>
      </w:r>
      <w:r>
        <w:t>，弃土弃渣73.51万m</w:t>
      </w:r>
      <w:r>
        <w:rPr>
          <w:vertAlign w:val="superscript"/>
        </w:rPr>
        <w:t>3</w:t>
      </w:r>
      <w:bookmarkEnd w:id="31"/>
      <w:bookmarkEnd w:id="32"/>
      <w:r>
        <w:t>，</w:t>
      </w:r>
      <w:bookmarkEnd w:id="29"/>
      <w:bookmarkEnd w:id="30"/>
      <w:r>
        <w:t>全部</w:t>
      </w:r>
      <w:r>
        <w:rPr>
          <w:bCs/>
        </w:rPr>
        <w:t>运往庙山开发区花山吴村建筑垃圾消纳场，</w:t>
      </w:r>
      <w:r>
        <w:t>无外借土方。工程转运土方不能及时回填的部分，应转运至临时堆土场堆放，然后及时运走。</w:t>
      </w:r>
    </w:p>
    <w:p>
      <w:pPr>
        <w:pStyle w:val="5"/>
        <w:ind w:firstLine="562"/>
      </w:pPr>
      <w:bookmarkStart w:id="33" w:name="_Toc31392"/>
      <w:bookmarkStart w:id="34" w:name="_Toc529379700"/>
      <w:bookmarkStart w:id="35" w:name="_Toc529801387"/>
      <w:r>
        <w:t xml:space="preserve">1.1.8 </w:t>
      </w:r>
      <w:r>
        <w:rPr>
          <w:rFonts w:hint="eastAsia"/>
        </w:rPr>
        <w:t>拆迁（移民）安置与专项设施改（迁）建</w:t>
      </w:r>
      <w:bookmarkEnd w:id="33"/>
      <w:bookmarkEnd w:id="34"/>
      <w:bookmarkEnd w:id="35"/>
    </w:p>
    <w:p>
      <w:pPr>
        <w:ind w:firstLine="480"/>
        <w:rPr>
          <w:rFonts w:cs="仿宋"/>
          <w:kern w:val="0"/>
        </w:rPr>
      </w:pPr>
      <w:r>
        <w:rPr>
          <w:rFonts w:hint="eastAsia" w:cs="仿宋"/>
          <w:kern w:val="0"/>
        </w:rPr>
        <w:t>根据现场踏勘，主体工程涉及房屋拆迁和铁路设施拆迁，拆迁以货币方式进行补偿，不涉及安置区，所以本《方案》不涉及拆迁安置水土流失防治问题。</w:t>
      </w:r>
    </w:p>
    <w:p>
      <w:pPr>
        <w:pStyle w:val="4"/>
        <w:ind w:firstLine="562"/>
      </w:pPr>
      <w:bookmarkStart w:id="36" w:name="_Toc1968"/>
      <w:r>
        <w:t>1.2项目区概况</w:t>
      </w:r>
      <w:bookmarkEnd w:id="36"/>
    </w:p>
    <w:p>
      <w:pPr>
        <w:pStyle w:val="2"/>
        <w:snapToGrid w:val="0"/>
        <w:ind w:left="0" w:firstLine="480"/>
        <w:rPr>
          <w:rFonts w:eastAsia="仿宋_GB2312"/>
        </w:rPr>
      </w:pPr>
      <w:bookmarkStart w:id="37" w:name="_Toc529801391"/>
      <w:bookmarkStart w:id="38" w:name="_Toc6386"/>
      <w:bookmarkStart w:id="39" w:name="_Toc529379704"/>
      <w:r>
        <w:rPr>
          <w:rFonts w:hint="eastAsia" w:eastAsia="仿宋_GB2312"/>
        </w:rPr>
        <w:t>1.区域地质构造</w:t>
      </w:r>
    </w:p>
    <w:p>
      <w:pPr>
        <w:pStyle w:val="2"/>
        <w:snapToGrid w:val="0"/>
        <w:ind w:left="0" w:firstLine="480"/>
        <w:rPr>
          <w:rFonts w:eastAsia="仿宋_GB2312"/>
        </w:rPr>
      </w:pPr>
      <w:r>
        <w:rPr>
          <w:rFonts w:hint="eastAsia" w:eastAsia="仿宋_GB2312"/>
        </w:rPr>
        <w:t>武汉市大地构造上处于淮阳山字型弧顶西侧与新华夏系第二沉降带的复合部位：襄（樊）—广（济）断裂以北出露基岩为元古界大别群、红安群的混合变质岩，构造特征表现为一系列北系向背、向斜、并发育规模不等的 NW、NE 向断裂， 受断裂控制，燕山期岩浆活动强烈，双峰尖、夏店和研子岗岩体侵入于背斜构造之核部。襄一广断裂以南大都被第四系覆盖，志留系三迭系地层构成了走向近东西向的线状褶皱，一般向斜窄、背斜宽，并发育 NWW、NW、NE 三组断裂。同时受襄广断裂和麻团断裂控制，发育有两个凹陷，即沉积中心位于新洲区汪集附近，呈 NE 向垂叠于NW 向构造之上的新洲凹陷和位于江夏区境内延伸出图的NEE 向展布的梁子湖凹陷。</w:t>
      </w:r>
    </w:p>
    <w:p>
      <w:pPr>
        <w:pStyle w:val="2"/>
        <w:snapToGrid w:val="0"/>
        <w:ind w:left="0" w:firstLine="480"/>
        <w:rPr>
          <w:rFonts w:eastAsia="仿宋_GB2312"/>
        </w:rPr>
      </w:pPr>
      <w:r>
        <w:rPr>
          <w:rFonts w:hint="eastAsia" w:eastAsia="仿宋_GB2312"/>
        </w:rPr>
        <w:t>据区域地质构造资料，武汉地区的大地构造均属古老的地质构造，无第四纪全新世活动迹象，拟建场地地质构造稳定性良好，适宜工程建设。</w:t>
      </w:r>
    </w:p>
    <w:p>
      <w:pPr>
        <w:pStyle w:val="2"/>
        <w:snapToGrid w:val="0"/>
        <w:ind w:left="0" w:firstLine="480"/>
        <w:rPr>
          <w:rFonts w:eastAsia="仿宋_GB2312"/>
        </w:rPr>
      </w:pPr>
      <w:r>
        <w:rPr>
          <w:rFonts w:hint="eastAsia" w:eastAsia="仿宋_GB2312"/>
        </w:rPr>
        <w:t>在勘探控制深度范围内，拟建场地地层依据年代成因差异自上而下可分为 3 个不同的单元层：第（1）单元层为人工填土层（Qml）、淤泥层（Ql）；第（2） 单元层为第四系全新统冲积（Q4al）淤泥质黏土、一般黏性土层；第（3）单元层为第四系上更新统冲洪积（Q3al+pl）老黏性土、粉质黏土夹砾石层。根据各单元层内物理力学性质上的差异，又可将场区地层进一步细划为若干亚层。</w:t>
      </w:r>
    </w:p>
    <w:p>
      <w:pPr>
        <w:pStyle w:val="2"/>
        <w:snapToGrid w:val="0"/>
        <w:ind w:left="0" w:firstLine="480"/>
        <w:rPr>
          <w:rFonts w:eastAsia="仿宋_GB2312"/>
        </w:rPr>
      </w:pPr>
      <w:r>
        <w:rPr>
          <w:rFonts w:hint="eastAsia" w:eastAsia="仿宋_GB2312"/>
        </w:rPr>
        <w:t>2.地震</w:t>
      </w:r>
    </w:p>
    <w:p>
      <w:pPr>
        <w:pStyle w:val="2"/>
        <w:snapToGrid w:val="0"/>
        <w:ind w:left="0" w:firstLine="480"/>
        <w:rPr>
          <w:rFonts w:eastAsia="仿宋_GB2312"/>
        </w:rPr>
      </w:pPr>
      <w:r>
        <w:rPr>
          <w:rFonts w:hint="eastAsia" w:eastAsia="仿宋_GB2312"/>
        </w:rPr>
        <w:t>根据鄂建文[2001]357 号文及武建设字[2002]311 号文有关规定，武汉地区建设工程抗震设防烈度为 6 度，设计基本地震动峰值加速度值为 0.05g。据建设部、国家计委联合以(89)建抗字第 586 号文颁发的《新建工程抗震设防暂行规定》及武汉市建委武城设字[1995]054 号通知的精神，对江、河排水的重要泵站以及长江、汉水大堤和张公堤穿堤涵闸，按地震烈度 7 度设防，其它排水设施按 6 度设防。</w:t>
      </w:r>
    </w:p>
    <w:p>
      <w:pPr>
        <w:pStyle w:val="2"/>
        <w:snapToGrid w:val="0"/>
        <w:ind w:left="0" w:firstLine="480"/>
        <w:rPr>
          <w:rFonts w:eastAsia="仿宋_GB2312"/>
        </w:rPr>
      </w:pPr>
      <w:r>
        <w:rPr>
          <w:rFonts w:hint="eastAsia" w:eastAsia="仿宋_GB2312"/>
        </w:rPr>
        <w:t>3.水文地质</w:t>
      </w:r>
    </w:p>
    <w:p>
      <w:pPr>
        <w:pStyle w:val="2"/>
        <w:snapToGrid w:val="0"/>
        <w:ind w:left="0" w:firstLine="480"/>
        <w:rPr>
          <w:rFonts w:eastAsia="仿宋_GB2312"/>
        </w:rPr>
      </w:pPr>
      <w:r>
        <w:rPr>
          <w:rFonts w:hint="eastAsia" w:eastAsia="仿宋_GB2312"/>
        </w:rPr>
        <w:t>（1）地下水类型</w:t>
      </w:r>
    </w:p>
    <w:p>
      <w:pPr>
        <w:pStyle w:val="2"/>
        <w:snapToGrid w:val="0"/>
        <w:ind w:left="0" w:firstLine="480"/>
        <w:rPr>
          <w:rFonts w:eastAsia="仿宋_GB2312"/>
        </w:rPr>
      </w:pPr>
      <w:r>
        <w:rPr>
          <w:rFonts w:hint="eastAsia" w:eastAsia="仿宋_GB2312"/>
        </w:rPr>
        <w:t>孔隙潜水含水层断续分布于区内长江一级阶地前缘及长江心滩白沙洲。其含水层顶板埋深几米至二十几米。承压水头埋藏较浅，一般为 2~6 米，水量较丰富， 易开采。</w:t>
      </w:r>
    </w:p>
    <w:p>
      <w:pPr>
        <w:pStyle w:val="2"/>
        <w:snapToGrid w:val="0"/>
        <w:ind w:left="0" w:firstLine="480"/>
        <w:rPr>
          <w:rFonts w:eastAsia="仿宋_GB2312"/>
        </w:rPr>
      </w:pPr>
      <w:r>
        <w:rPr>
          <w:rFonts w:hint="eastAsia" w:eastAsia="仿宋_GB2312"/>
        </w:rPr>
        <w:t>在勘察揭露深度范围内，场地地下水类型主要为“上层滞水”和“孔隙承压水” 两种类型。</w:t>
      </w:r>
    </w:p>
    <w:p>
      <w:pPr>
        <w:pStyle w:val="2"/>
        <w:snapToGrid w:val="0"/>
        <w:ind w:left="0" w:firstLine="480"/>
        <w:rPr>
          <w:rFonts w:eastAsia="仿宋_GB2312"/>
        </w:rPr>
      </w:pPr>
      <w:r>
        <w:rPr>
          <w:rFonts w:hint="eastAsia" w:eastAsia="仿宋_GB2312"/>
        </w:rPr>
        <w:t>上层滞水主要赋存于（1）单元层填土中，主要接受大气降水和地表水及周边居民生活用水的渗透补给。</w:t>
      </w:r>
    </w:p>
    <w:p>
      <w:pPr>
        <w:pStyle w:val="2"/>
        <w:snapToGrid w:val="0"/>
        <w:ind w:left="0" w:firstLine="480"/>
        <w:rPr>
          <w:rFonts w:eastAsia="仿宋_GB2312"/>
        </w:rPr>
      </w:pPr>
      <w:r>
        <w:rPr>
          <w:rFonts w:hint="eastAsia" w:eastAsia="仿宋_GB2312"/>
        </w:rPr>
        <w:t>孔隙承压水主要赋存于（4）单元层粉砂夹卵砾石中，具较稳定的承压水头， 水量较丰富，连通性较好，与长江有较密切的水力联系。由于孔隙承压水埋藏较深，对本工程建设影响不大。</w:t>
      </w:r>
    </w:p>
    <w:p>
      <w:pPr>
        <w:pStyle w:val="2"/>
        <w:snapToGrid w:val="0"/>
        <w:ind w:left="0" w:firstLine="480"/>
        <w:rPr>
          <w:rFonts w:eastAsia="仿宋_GB2312"/>
        </w:rPr>
      </w:pPr>
      <w:r>
        <w:rPr>
          <w:rFonts w:hint="eastAsia" w:eastAsia="仿宋_GB2312"/>
        </w:rPr>
        <w:t>（2）地下水和土的腐蚀性</w:t>
      </w:r>
    </w:p>
    <w:p>
      <w:pPr>
        <w:pStyle w:val="2"/>
        <w:snapToGrid w:val="0"/>
        <w:ind w:left="0" w:firstLine="480"/>
        <w:rPr>
          <w:rFonts w:eastAsia="仿宋_GB2312"/>
        </w:rPr>
      </w:pPr>
      <w:r>
        <w:rPr>
          <w:rFonts w:hint="eastAsia" w:eastAsia="仿宋_GB2312"/>
        </w:rPr>
        <w:t>相关试验、测试结果表明，场地地下水和土对混凝土及钢筋混凝土中的钢筋具微腐蚀性。</w:t>
      </w:r>
    </w:p>
    <w:p>
      <w:pPr>
        <w:pStyle w:val="2"/>
        <w:snapToGrid w:val="0"/>
        <w:ind w:left="0" w:firstLine="480"/>
        <w:rPr>
          <w:rFonts w:eastAsia="仿宋_GB2312"/>
        </w:rPr>
      </w:pPr>
      <w:r>
        <w:rPr>
          <w:rFonts w:hint="eastAsia" w:eastAsia="仿宋_GB2312"/>
        </w:rPr>
        <w:t>4.地貌</w:t>
      </w:r>
    </w:p>
    <w:p>
      <w:pPr>
        <w:pStyle w:val="2"/>
        <w:snapToGrid w:val="0"/>
        <w:ind w:left="0" w:firstLine="480"/>
        <w:rPr>
          <w:rFonts w:eastAsia="仿宋_GB2312"/>
        </w:rPr>
      </w:pPr>
      <w:r>
        <w:rPr>
          <w:rFonts w:hint="eastAsia" w:eastAsia="仿宋_GB2312"/>
        </w:rPr>
        <w:t>武汉市洪山区地貌以平原为主，有山有水，水阔地宽，西北略低，东南略高。全区 93%的土地低于海拔 40m，平均高程为海拔 25.3m，最高点为九峰乡与江夏区交界处的丁管山，海拔 201m，最低处为北港村 17.3m。丘陵岗地分布在花山、九峰、洪山、青菱等乡镇内。辖区内桂子山、喻家山、南望山、九峰山、花山、白浒山等由中部向东部连绵延伸，与南湖、严东湖、严西湖等天然湖泊交相呼应。境内中部、自西向东有低岗伸延，东部则以平原为主。丘脊岗坡多、呈东西走向， 形成较大范围的天然屏障。区内的长江岸长约 66.2 公里。境内大小山峰，一般座东向西，呈带状延伸，湖泊 14 个，山水相依，河汊相错，自然景色十分壮观。拟建场地地貌单元属于长江冲积一级阶地与三级阶地交汇处，总体地势稍有伏，地面高程在 18.73～26.26m 之间。拟建项目范围内主要为荒地、鱼塘、沟渠以及施工工地，无现状道路。道路两侧部分土地正在开发。</w:t>
      </w:r>
    </w:p>
    <w:p>
      <w:pPr>
        <w:pStyle w:val="2"/>
        <w:snapToGrid w:val="0"/>
        <w:ind w:left="0" w:firstLine="480"/>
        <w:rPr>
          <w:rFonts w:eastAsia="仿宋_GB2312"/>
        </w:rPr>
      </w:pPr>
      <w:r>
        <w:rPr>
          <w:rFonts w:hint="eastAsia" w:eastAsia="仿宋_GB2312"/>
        </w:rPr>
        <w:t>4.气象</w:t>
      </w:r>
    </w:p>
    <w:p>
      <w:pPr>
        <w:pStyle w:val="2"/>
        <w:snapToGrid w:val="0"/>
        <w:ind w:left="0" w:firstLine="480"/>
        <w:rPr>
          <w:rFonts w:eastAsia="仿宋_GB2312"/>
        </w:rPr>
      </w:pPr>
      <w:r>
        <w:rPr>
          <w:rFonts w:hint="eastAsia" w:eastAsia="仿宋_GB2312"/>
        </w:rPr>
        <w:t>本项目所在地属于北亚热带湿润季风气候，具有雨量丰沛、热量充足、雨热同季、光热同季、冬冷夏热、四季分明等特点。根据洪山区气象水文站 1956～2008 年气象水文资料，该区多年平均气温 16.5℃，≥10℃有效积温 5268℃，极端最高温度 41.3℃，极端最低温度-18.1℃。多年平均降雨量为 1280.9mm，降水年际变化大， 年最大降雨量 2105mm，般 4～9 月份为雨季、洪涝期，雨量占全年降雨量的 80% 左右；6～8 月多暴雨，最大日降水量 317.4mm，多年平均蒸发量为 1527mm。项目区主导风向为 NNE，年平均风速为 2.4m/s。年日照数 1918.0h，无霜期 242d， 最大积雪深度 32cm，均积雪深度 3～5cm，最大冻土深度 10cm。</w:t>
      </w:r>
    </w:p>
    <w:p>
      <w:pPr>
        <w:pStyle w:val="2"/>
        <w:snapToGrid w:val="0"/>
        <w:ind w:left="0" w:firstLine="480"/>
        <w:rPr>
          <w:rFonts w:eastAsia="仿宋_GB2312"/>
        </w:rPr>
      </w:pPr>
      <w:r>
        <w:rPr>
          <w:rFonts w:hint="eastAsia" w:eastAsia="仿宋_GB2312"/>
        </w:rPr>
        <w:t>根据《中国暴雨统计参数图集》（2005 年）计算，本区历年最大 lh 降雨量98.6mm，10 年一遇 1h 最大降雨量为 64.91mm，5 年一遇 1h 最大降雨量为 55.53mm</w:t>
      </w:r>
    </w:p>
    <w:p>
      <w:pPr>
        <w:pStyle w:val="2"/>
        <w:snapToGrid w:val="0"/>
        <w:ind w:left="0" w:firstLine="480"/>
        <w:rPr>
          <w:rFonts w:eastAsia="仿宋_GB2312"/>
        </w:rPr>
      </w:pPr>
      <w:r>
        <w:rPr>
          <w:rFonts w:hint="eastAsia" w:eastAsia="仿宋_GB2312"/>
        </w:rPr>
        <w:t>5.河流水文</w:t>
      </w:r>
    </w:p>
    <w:p>
      <w:pPr>
        <w:pStyle w:val="2"/>
        <w:snapToGrid w:val="0"/>
        <w:ind w:left="0" w:firstLine="480"/>
        <w:rPr>
          <w:rFonts w:eastAsia="仿宋_GB2312"/>
        </w:rPr>
      </w:pPr>
      <w:r>
        <w:rPr>
          <w:rFonts w:hint="eastAsia" w:eastAsia="仿宋_GB2312"/>
        </w:rPr>
        <w:t>洪山区地处长江流域，本项目所在地为汤逊湖水系。汤逊湖水系是长江堤防和自然高地围合的湖泊和脊地范围，为武珞路以南，江夏区青龙山公园以北，关山地区以西，长江以东，总面积约 458 平方公里。汤逊湖水系含大小湖泊 12 个，根据调蓄湖泊和自然汇流形成 8 个子汇水区：南湖、野芷湖、汤逊湖、黄家湖、青菱湖、野湖、海口和巡司河青菱河子汇水区。各湖泊间通过巡司河和青菱河实现连通。</w:t>
      </w:r>
    </w:p>
    <w:p>
      <w:pPr>
        <w:pStyle w:val="2"/>
        <w:snapToGrid w:val="0"/>
        <w:ind w:left="0" w:firstLine="480"/>
        <w:rPr>
          <w:rFonts w:eastAsia="仿宋_GB2312"/>
        </w:rPr>
      </w:pPr>
      <w:r>
        <w:rPr>
          <w:rFonts w:hint="eastAsia" w:eastAsia="仿宋_GB2312"/>
        </w:rPr>
        <w:t>青菱河为区域性排水明渠及湖泊连通廊道，是汤逊湖水系中南湖汇水区、野芷湖汇水区、汤逊湖汇水区重要的出江通道，于 1978 年建成，西起汤逊湖泵站，东至巡司河，全长约 8.3 公里。青菱河系统雨水通过青菱河排入长渠，经汤逊湖泵站（Q=120m3/s）抽排出长江。</w:t>
      </w:r>
    </w:p>
    <w:p>
      <w:pPr>
        <w:pStyle w:val="2"/>
        <w:snapToGrid w:val="0"/>
        <w:ind w:left="0" w:firstLine="480"/>
        <w:rPr>
          <w:rFonts w:eastAsia="仿宋_GB2312"/>
        </w:rPr>
      </w:pPr>
      <w:r>
        <w:rPr>
          <w:rFonts w:hint="eastAsia" w:eastAsia="仿宋_GB2312"/>
        </w:rPr>
        <w:t>汤逊湖水系现有三个出江泵站，分别为江南泵站（现状规模 Q=150 立方米/秒）、汤逊湖泵站（现状规模 Q=112.5 立方米/秒）和海口泵站（现状规模 Q=62.52 立方米/秒），有四座出江排水闸，分别为武泰闸（设计流量 Q=10 立方米/秒）、江南闸（设计流量 Q=40 立方米/秒）、陈家山闸（设计流量 Q=29.25 立方米/秒）和海口闸（设计流量 Q=25.0～50 立方米/秒）。非汛期，区域雨水由武泰闸、江南闸、陈家山闸和海口闸自流出江，汛期由江南泵站、汤逊湖泵站和海口泵站抽排出江。</w:t>
      </w:r>
    </w:p>
    <w:p>
      <w:pPr>
        <w:pStyle w:val="2"/>
        <w:snapToGrid w:val="0"/>
        <w:ind w:left="0" w:firstLine="480"/>
        <w:rPr>
          <w:rFonts w:eastAsia="仿宋_GB2312"/>
        </w:rPr>
      </w:pPr>
      <w:r>
        <w:rPr>
          <w:rFonts w:hint="eastAsia" w:eastAsia="仿宋_GB2312"/>
        </w:rPr>
        <w:t>江南泵站起排水位为 16.00 米。汤逊湖泵站起排水位为 17.65 米（黄海高程，下同）；海口泵站进水渠底 16.87 米，起排水位 18.87 米；解放闸底板高程 13.14 米，闸孔断面为 3BH=2.6*9 米；江南闸底板高程 14.00 米，闸孔断面为 2BH=5.0*2.5 米，陈家山闸底板高程 15.64 米，闸孔断面为 3BH=2.5*3.5 米；海口闸闸底 16.5 米，闸孔断面为 BH=3.0*4.0 米。</w:t>
      </w:r>
    </w:p>
    <w:p>
      <w:pPr>
        <w:pStyle w:val="2"/>
        <w:snapToGrid w:val="0"/>
        <w:ind w:left="0" w:firstLine="480"/>
        <w:rPr>
          <w:rFonts w:eastAsia="仿宋_GB2312"/>
        </w:rPr>
      </w:pPr>
      <w:r>
        <w:rPr>
          <w:rFonts w:hint="eastAsia" w:eastAsia="仿宋_GB2312"/>
        </w:rPr>
        <w:t>青菱河为汤逊湖水系中南湖汇水区、野芷湖汇水区、汤逊湖汇水区重要的出江通道，西起汤逊湖泵站，东至巡司河，全长约 8.3 公里。本次规划修建段为军运会三环线节点段，即青菱河（新港～巡司河），总长约 2.6 公里。排水走廊控制线宽 110-123 米。青菱河河底淤泥深 0.7m 左右。</w:t>
      </w:r>
    </w:p>
    <w:p>
      <w:pPr>
        <w:pStyle w:val="2"/>
        <w:snapToGrid w:val="0"/>
        <w:ind w:left="0" w:firstLine="480"/>
        <w:rPr>
          <w:rFonts w:eastAsia="仿宋_GB2312"/>
        </w:rPr>
      </w:pPr>
      <w:r>
        <w:rPr>
          <w:rFonts w:hint="eastAsia" w:eastAsia="仿宋_GB2312"/>
        </w:rPr>
        <w:t>6.土壤植被</w:t>
      </w:r>
    </w:p>
    <w:p>
      <w:pPr>
        <w:pStyle w:val="2"/>
        <w:snapToGrid w:val="0"/>
        <w:ind w:left="0" w:firstLine="480"/>
        <w:rPr>
          <w:rFonts w:eastAsia="仿宋_GB2312"/>
        </w:rPr>
      </w:pPr>
      <w:r>
        <w:rPr>
          <w:rFonts w:hint="eastAsia" w:eastAsia="仿宋_GB2312"/>
        </w:rPr>
        <w:t>洪山区内土壤有潮土、水稻土、黄棕壤土和少量红壤土四个土类。根据地形特点可划分为“三个类型区”，即：环城平原菜副食品生产区。主要构成为冲积平原和湖积平原，生产条件较好，以潮土类为主，地势平坦，土壤肥力较高，抗旱能力强，是蔬菜生产的主要基地。东部垄岗粮林多种经营区。为鄂东南低山丘陵的延伸部分，有 82 个山头，地形波状起伏，垄岗相间。垄岗下部以水稻土为主， 肥力度、水、气、热等资源状况良好是粮食、油料的主要产区。垄岗中部以黄棕壤土为主，土质粘性重，供肥性差，但可人为改造成性状较好的白散土、黄土， 以种植果树等经济作物为主。垄岗上部为少量红壤土，酸性强，土层薄，肥力低， 水土流失严重，仅为林业利用。水产养殖区分布在全区各乡镇，湖泊、塘堰、精养鱼池汇集了大面积地表径流，蓄积养丰富的有机物质和无机盐类，加上菜叶边皮，城市生活污水和工副业残渣等构成了丰富的饵料资源，滋养着水生动植物。</w:t>
      </w:r>
    </w:p>
    <w:p>
      <w:pPr>
        <w:pStyle w:val="2"/>
        <w:snapToGrid w:val="0"/>
        <w:ind w:left="0" w:firstLine="480"/>
        <w:rPr>
          <w:rFonts w:eastAsia="仿宋_GB2312"/>
        </w:rPr>
      </w:pPr>
      <w:r>
        <w:rPr>
          <w:rFonts w:hint="eastAsia" w:eastAsia="仿宋_GB2312"/>
        </w:rPr>
        <w:t>（1）洪山区植被特征</w:t>
      </w:r>
    </w:p>
    <w:p>
      <w:pPr>
        <w:pStyle w:val="2"/>
        <w:snapToGrid w:val="0"/>
        <w:ind w:left="0" w:firstLine="480"/>
        <w:rPr>
          <w:rFonts w:eastAsia="仿宋_GB2312"/>
        </w:rPr>
      </w:pPr>
      <w:r>
        <w:rPr>
          <w:rFonts w:hint="eastAsia" w:eastAsia="仿宋_GB2312"/>
        </w:rPr>
        <w:t>洪山区属中亚热带常绿阔叶林向北亚热带阔叶林过渡地带，植物种类繁多， 兼有南方和北方植物区系成分，常绿阔叶林和落叶阔叶混交林是全区的典型植被类型。林草覆盖多以人工林地为主，经济林所占比重较大；主要用材林有松、栋、枫香、柏、刺槐、柳等乡土树及泡桐、池杉、水杉、杉林、落羽松、湿地松、川柏等引进树。本工程所经区域植被覆盖以农业植被为主。洪山区绿化覆盖率为51.11%。（资料来源于洪山区统计年鉴 2017）</w:t>
      </w:r>
    </w:p>
    <w:p>
      <w:pPr>
        <w:pStyle w:val="2"/>
        <w:snapToGrid w:val="0"/>
        <w:ind w:left="0" w:firstLine="480"/>
        <w:rPr>
          <w:rFonts w:eastAsia="仿宋_GB2312"/>
        </w:rPr>
      </w:pPr>
      <w:r>
        <w:rPr>
          <w:rFonts w:hint="eastAsia" w:eastAsia="仿宋_GB2312"/>
        </w:rPr>
        <w:t>（2）项目场地植被现状</w:t>
      </w:r>
    </w:p>
    <w:p>
      <w:pPr>
        <w:pStyle w:val="2"/>
        <w:snapToGrid w:val="0"/>
        <w:ind w:left="0" w:firstLine="480"/>
        <w:rPr>
          <w:rFonts w:eastAsia="仿宋_GB2312"/>
        </w:rPr>
      </w:pPr>
      <w:r>
        <w:rPr>
          <w:rFonts w:hint="eastAsia" w:eastAsia="仿宋_GB2312"/>
        </w:rPr>
        <w:t>据调查，青菱河现状南侧以苗圃为主，植物包括桂花、香樟、悬铃木、樱花、池杉（＞25cm）等，北侧在现状居民聚居点及上下闸道处零星分布池杉、石楠、香樟等。根据主体设计基地内原有生长较好的植物，应予以保留并组合成景。新配置的树木应与原有树木相互协调，不得影响原有树木的生长。</w:t>
      </w:r>
    </w:p>
    <w:p>
      <w:pPr>
        <w:pStyle w:val="2"/>
        <w:snapToGrid w:val="0"/>
        <w:ind w:left="0" w:firstLine="480"/>
        <w:rPr>
          <w:rFonts w:eastAsia="仿宋_GB2312"/>
        </w:rPr>
      </w:pPr>
      <w:r>
        <w:rPr>
          <w:rFonts w:hint="eastAsia" w:eastAsia="仿宋_GB2312"/>
        </w:rPr>
        <w:t>7.水土流失情况</w:t>
      </w:r>
    </w:p>
    <w:p>
      <w:pPr>
        <w:pStyle w:val="2"/>
        <w:snapToGrid w:val="0"/>
        <w:ind w:left="0" w:firstLine="480"/>
        <w:rPr>
          <w:rFonts w:eastAsia="仿宋_GB2312"/>
        </w:rPr>
      </w:pPr>
      <w:r>
        <w:rPr>
          <w:rFonts w:hint="eastAsia" w:eastAsia="仿宋_GB2312"/>
        </w:rPr>
        <w:t>主要侵蚀类型为水蚀，强度为微度，土壤流失背景值类比当地其他项目约为500t/(km²•a)。</w:t>
      </w:r>
    </w:p>
    <w:p>
      <w:pPr>
        <w:pStyle w:val="2"/>
        <w:snapToGrid w:val="0"/>
        <w:ind w:left="0" w:firstLine="480"/>
        <w:rPr>
          <w:rFonts w:ascii="Calibri" w:hAnsi="Calibri" w:eastAsia="仿宋_GB2312"/>
        </w:rPr>
      </w:pPr>
      <w:r>
        <w:rPr>
          <w:rFonts w:hint="eastAsia" w:eastAsia="仿宋_GB2312"/>
        </w:rPr>
        <w:t>本项目所在的区域位于武汉市水土流失重点预防区，考虑项目建设区位置和自然地理气候条件，执行建设类项目一级防治标准。</w:t>
      </w:r>
      <w:bookmarkEnd w:id="37"/>
      <w:bookmarkEnd w:id="38"/>
      <w:bookmarkEnd w:id="39"/>
    </w:p>
    <w:p>
      <w:pPr>
        <w:pStyle w:val="3"/>
        <w:spacing w:line="240" w:lineRule="auto"/>
        <w:ind w:firstLine="0" w:firstLineChars="0"/>
        <w:jc w:val="center"/>
        <w:sectPr>
          <w:headerReference r:id="rId11" w:type="default"/>
          <w:footerReference r:id="rId12" w:type="default"/>
          <w:pgSz w:w="11906" w:h="16838"/>
          <w:pgMar w:top="1587" w:right="1587" w:bottom="1587" w:left="1587" w:header="567" w:footer="567" w:gutter="0"/>
          <w:cols w:space="720" w:num="1"/>
          <w:docGrid w:type="lines" w:linePitch="312" w:charSpace="0"/>
        </w:sectPr>
      </w:pPr>
    </w:p>
    <w:p>
      <w:pPr>
        <w:pStyle w:val="3"/>
        <w:spacing w:line="240" w:lineRule="auto"/>
        <w:ind w:firstLine="0" w:firstLineChars="0"/>
        <w:jc w:val="center"/>
      </w:pPr>
      <w:bookmarkStart w:id="40" w:name="_Toc16174"/>
      <w:r>
        <w:t>2水土保持方案和设计情况</w:t>
      </w:r>
      <w:bookmarkEnd w:id="40"/>
    </w:p>
    <w:p>
      <w:pPr>
        <w:pStyle w:val="4"/>
        <w:ind w:firstLine="562"/>
      </w:pPr>
      <w:bookmarkStart w:id="41" w:name="_Toc4724"/>
      <w:r>
        <w:t>2.1主体工程设计</w:t>
      </w:r>
      <w:bookmarkEnd w:id="41"/>
    </w:p>
    <w:p>
      <w:pPr>
        <w:ind w:firstLine="480"/>
        <w:rPr>
          <w:rFonts w:cs="仿宋_GB2312"/>
        </w:rPr>
      </w:pPr>
      <w:r>
        <w:rPr>
          <w:rFonts w:hint="eastAsia" w:cs="仿宋"/>
        </w:rPr>
        <w:t>本项目为新建项目，</w:t>
      </w:r>
      <w:r>
        <w:rPr>
          <w:rFonts w:hint="eastAsia" w:cs="仿宋_GB2312"/>
        </w:rPr>
        <w:t>2014年中信建筑设计研究总院有限公司编制完成《</w:t>
      </w:r>
      <w:r>
        <w:rPr>
          <w:rFonts w:hint="eastAsia" w:cs="仿宋_GB2312"/>
          <w:lang w:val="zh-CN"/>
        </w:rPr>
        <w:t>楚天都市沁园建设项目</w:t>
      </w:r>
      <w:r>
        <w:rPr>
          <w:rFonts w:hint="eastAsia" w:cs="仿宋_GB2312"/>
        </w:rPr>
        <w:t>可行性研究报告》</w:t>
      </w:r>
    </w:p>
    <w:p>
      <w:pPr>
        <w:pStyle w:val="4"/>
        <w:ind w:firstLine="562"/>
      </w:pPr>
      <w:bookmarkStart w:id="42" w:name="_Toc1744"/>
      <w:r>
        <w:t>2.2水土保持方案</w:t>
      </w:r>
      <w:r>
        <w:rPr>
          <w:rFonts w:hint="eastAsia"/>
        </w:rPr>
        <w:t>编报及批复情况</w:t>
      </w:r>
      <w:bookmarkEnd w:id="42"/>
    </w:p>
    <w:p>
      <w:pPr>
        <w:ind w:firstLine="480"/>
        <w:rPr>
          <w:rFonts w:cs="仿宋"/>
        </w:rPr>
      </w:pPr>
      <w:r>
        <w:rPr>
          <w:rFonts w:cs="仿宋"/>
        </w:rPr>
        <w:t>为了全面贯彻《中华人民共和国水土保持法》和相关法律法规，正确处理工程建设与水土保持的关系，做到工程建设过程中的水土保持工作有序进行，武汉楚天都市置业有限公司于 201</w:t>
      </w:r>
      <w:r>
        <w:rPr>
          <w:rFonts w:hint="eastAsia" w:cs="仿宋"/>
        </w:rPr>
        <w:t>4</w:t>
      </w:r>
      <w:r>
        <w:rPr>
          <w:rFonts w:cs="仿宋"/>
        </w:rPr>
        <w:t>年</w:t>
      </w:r>
      <w:r>
        <w:rPr>
          <w:rFonts w:hint="eastAsia" w:cs="仿宋"/>
        </w:rPr>
        <w:t>4</w:t>
      </w:r>
      <w:r>
        <w:rPr>
          <w:rFonts w:cs="仿宋"/>
        </w:rPr>
        <w:t>月委托南京和谐生态工程技术有限公司编制《楚天都市沁园建设项目水土保持方案》工作</w:t>
      </w:r>
      <w:r>
        <w:rPr>
          <w:rFonts w:hint="eastAsia" w:cs="仿宋"/>
        </w:rPr>
        <w:t>，于 2014年4月编制完成了《楚天都市沁园建设项目水土保持方案报告书（送审稿）》。2014年4月，武汉市洪山区水务局在武汉主持召开了《楚天都市沁园建设项目水土保持方案报告书（送审稿）》评审会，与会专家和代表听取了建设单位对工程基本情况的介绍和方案编制单位对《报告书》的汇报，经认真讨论和审查，认为本方案编制符合有关技术规范的规定和要求，同意通过评审，经补充、完善后可上报审批。现根据专家书面意见修改完善有关内容，南京和谐生态工程技术有限公司于2014年6月完成《楚天都市沁园建设项目水土保持方案报告书》报批稿，并获得批复（洪水/许水保准许201407023号）。</w:t>
      </w:r>
    </w:p>
    <w:p>
      <w:pPr>
        <w:pStyle w:val="4"/>
        <w:ind w:firstLine="562"/>
      </w:pPr>
      <w:bookmarkStart w:id="43" w:name="_Toc3293"/>
      <w:r>
        <w:t>2.</w:t>
      </w:r>
      <w:r>
        <w:rPr>
          <w:rFonts w:hint="eastAsia"/>
        </w:rPr>
        <w:t>3水土流失防治责任范围</w:t>
      </w:r>
      <w:bookmarkEnd w:id="43"/>
    </w:p>
    <w:p>
      <w:pPr>
        <w:pStyle w:val="2"/>
        <w:snapToGrid w:val="0"/>
        <w:ind w:left="0" w:firstLine="480"/>
        <w:rPr>
          <w:rFonts w:ascii="Calibri" w:hAnsi="Calibri" w:eastAsia="仿宋_GB2312"/>
        </w:rPr>
      </w:pPr>
      <w:r>
        <w:rPr>
          <w:rFonts w:hint="eastAsia" w:ascii="Calibri" w:hAnsi="Calibri" w:eastAsia="仿宋_GB2312"/>
        </w:rPr>
        <w:t>本工程防治责任范围面积为19.91hm²。其中：项目建设区18.60hm²，直接影响区1.31hm²。</w:t>
      </w:r>
    </w:p>
    <w:p>
      <w:pPr>
        <w:pStyle w:val="2"/>
        <w:snapToGrid w:val="0"/>
        <w:ind w:left="0" w:firstLine="480"/>
        <w:rPr>
          <w:rFonts w:ascii="Calibri" w:hAnsi="Calibri" w:eastAsia="仿宋_GB2312"/>
        </w:rPr>
      </w:pPr>
      <w:r>
        <w:rPr>
          <w:rFonts w:hint="eastAsia" w:ascii="Calibri" w:hAnsi="Calibri" w:eastAsia="仿宋_GB2312"/>
        </w:rPr>
        <w:t>（1）按项目地块分区</w:t>
      </w:r>
    </w:p>
    <w:p>
      <w:pPr>
        <w:pStyle w:val="2"/>
        <w:snapToGrid w:val="0"/>
        <w:ind w:left="0" w:firstLine="480"/>
        <w:rPr>
          <w:rFonts w:ascii="Calibri" w:hAnsi="Calibri" w:eastAsia="仿宋_GB2312"/>
        </w:rPr>
      </w:pPr>
      <w:r>
        <w:rPr>
          <w:rFonts w:hint="eastAsia" w:ascii="Calibri" w:hAnsi="Calibri" w:eastAsia="仿宋_GB2312"/>
        </w:rPr>
        <w:t>楚天都市沁园建设项目按地块划分一级分区。</w:t>
      </w:r>
    </w:p>
    <w:p>
      <w:pPr>
        <w:pStyle w:val="2"/>
        <w:snapToGrid w:val="0"/>
        <w:ind w:left="0" w:firstLine="480"/>
        <w:rPr>
          <w:rFonts w:ascii="Calibri" w:hAnsi="Calibri" w:eastAsia="仿宋_GB2312"/>
        </w:rPr>
      </w:pPr>
      <w:r>
        <w:rPr>
          <w:rFonts w:hint="eastAsia" w:ascii="Calibri" w:hAnsi="Calibri" w:eastAsia="仿宋_GB2312"/>
        </w:rPr>
        <w:t>（2）按工程类型分区</w:t>
      </w:r>
    </w:p>
    <w:p>
      <w:pPr>
        <w:pStyle w:val="2"/>
        <w:snapToGrid w:val="0"/>
        <w:ind w:left="0" w:firstLine="480"/>
        <w:rPr>
          <w:rFonts w:ascii="Calibri" w:hAnsi="Calibri" w:eastAsia="仿宋_GB2312"/>
        </w:rPr>
      </w:pPr>
      <w:r>
        <w:rPr>
          <w:rFonts w:hint="eastAsia" w:ascii="Calibri" w:hAnsi="Calibri" w:eastAsia="仿宋_GB2312"/>
        </w:rPr>
        <w:t>在以上按地形地貌防治分区的基础上，针对本工程建设过程中的水土流失特点，结合总体布局、施工布置、施工工艺、施工时序等因素进行二级分区的划分，将工程划分为建筑区、道路及硬化场地区、绿化区、施工场地、施工便道、临时堆土场六个二级防治区。。</w:t>
      </w:r>
    </w:p>
    <w:p>
      <w:pPr>
        <w:pStyle w:val="2"/>
        <w:snapToGrid w:val="0"/>
        <w:ind w:left="0" w:firstLine="480"/>
        <w:rPr>
          <w:rFonts w:ascii="Calibri" w:hAnsi="Calibri" w:eastAsia="仿宋_GB2312"/>
        </w:rPr>
      </w:pPr>
    </w:p>
    <w:p>
      <w:pPr>
        <w:pStyle w:val="2"/>
        <w:snapToGrid w:val="0"/>
        <w:ind w:left="0" w:firstLine="482"/>
        <w:jc w:val="center"/>
        <w:rPr>
          <w:rFonts w:eastAsia="仿宋_GB2312"/>
          <w:b/>
          <w:bCs/>
          <w:szCs w:val="32"/>
        </w:rPr>
      </w:pPr>
      <w:r>
        <w:rPr>
          <w:rFonts w:hint="eastAsia" w:eastAsia="仿宋_GB2312"/>
          <w:b/>
          <w:bCs/>
          <w:szCs w:val="32"/>
        </w:rPr>
        <w:t>表2-1 工程水土保持防治责任范围表</w:t>
      </w:r>
      <w:r>
        <w:rPr>
          <w:rFonts w:hint="eastAsia" w:eastAsia="仿宋_GB2312"/>
          <w:b/>
          <w:bCs/>
          <w:szCs w:val="32"/>
        </w:rPr>
        <w:tab/>
      </w:r>
      <w:r>
        <w:rPr>
          <w:rFonts w:hint="eastAsia" w:eastAsia="仿宋_GB2312"/>
          <w:b/>
          <w:bCs/>
          <w:szCs w:val="32"/>
        </w:rPr>
        <w:t>单位：hm²</w:t>
      </w:r>
    </w:p>
    <w:tbl>
      <w:tblPr>
        <w:tblStyle w:val="23"/>
        <w:tblW w:w="5000" w:type="pct"/>
        <w:tblInd w:w="-8"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603"/>
        <w:gridCol w:w="604"/>
        <w:gridCol w:w="1655"/>
        <w:gridCol w:w="1679"/>
        <w:gridCol w:w="1280"/>
        <w:gridCol w:w="986"/>
        <w:gridCol w:w="194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Align w:val="center"/>
          </w:tcPr>
          <w:p>
            <w:pPr>
              <w:pStyle w:val="53"/>
            </w:pPr>
            <w:r>
              <w:t>地块分区</w:t>
            </w:r>
          </w:p>
        </w:tc>
        <w:tc>
          <w:tcPr>
            <w:tcW w:w="1290" w:type="pct"/>
            <w:gridSpan w:val="2"/>
            <w:tcMar>
              <w:top w:w="14" w:type="dxa"/>
              <w:left w:w="14" w:type="dxa"/>
              <w:bottom w:w="0" w:type="dxa"/>
              <w:right w:w="14" w:type="dxa"/>
            </w:tcMar>
            <w:vAlign w:val="center"/>
          </w:tcPr>
          <w:p>
            <w:pPr>
              <w:pStyle w:val="53"/>
            </w:pPr>
            <w:r>
              <w:t>工程分区</w:t>
            </w:r>
          </w:p>
        </w:tc>
        <w:tc>
          <w:tcPr>
            <w:tcW w:w="959" w:type="pct"/>
            <w:tcMar>
              <w:top w:w="14" w:type="dxa"/>
              <w:left w:w="14" w:type="dxa"/>
              <w:bottom w:w="0" w:type="dxa"/>
              <w:right w:w="14" w:type="dxa"/>
            </w:tcMar>
            <w:vAlign w:val="center"/>
          </w:tcPr>
          <w:p>
            <w:pPr>
              <w:pStyle w:val="53"/>
            </w:pPr>
            <w:r>
              <w:t>项目建设区</w:t>
            </w:r>
          </w:p>
        </w:tc>
        <w:tc>
          <w:tcPr>
            <w:tcW w:w="731" w:type="pct"/>
            <w:tcMar>
              <w:top w:w="14" w:type="dxa"/>
              <w:left w:w="14" w:type="dxa"/>
              <w:bottom w:w="0" w:type="dxa"/>
              <w:right w:w="14" w:type="dxa"/>
            </w:tcMar>
            <w:vAlign w:val="center"/>
          </w:tcPr>
          <w:p>
            <w:pPr>
              <w:pStyle w:val="53"/>
            </w:pPr>
            <w:r>
              <w:t>直接影响区</w:t>
            </w:r>
          </w:p>
        </w:tc>
        <w:tc>
          <w:tcPr>
            <w:tcW w:w="563" w:type="pct"/>
            <w:tcMar>
              <w:top w:w="14" w:type="dxa"/>
              <w:left w:w="14" w:type="dxa"/>
              <w:bottom w:w="0" w:type="dxa"/>
              <w:right w:w="14" w:type="dxa"/>
            </w:tcMar>
            <w:vAlign w:val="center"/>
          </w:tcPr>
          <w:p>
            <w:pPr>
              <w:pStyle w:val="53"/>
            </w:pPr>
            <w:r>
              <w:t>防治</w:t>
            </w:r>
          </w:p>
          <w:p>
            <w:pPr>
              <w:pStyle w:val="53"/>
            </w:pPr>
            <w:r>
              <w:t>责任范围</w:t>
            </w:r>
          </w:p>
        </w:tc>
        <w:tc>
          <w:tcPr>
            <w:tcW w:w="1112" w:type="pct"/>
            <w:tcMar>
              <w:top w:w="14" w:type="dxa"/>
              <w:left w:w="14" w:type="dxa"/>
              <w:bottom w:w="0" w:type="dxa"/>
              <w:right w:w="14" w:type="dxa"/>
            </w:tcMar>
            <w:vAlign w:val="center"/>
          </w:tcPr>
          <w:p>
            <w:pPr>
              <w:pStyle w:val="53"/>
            </w:pPr>
            <w: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restart"/>
            <w:vAlign w:val="center"/>
          </w:tcPr>
          <w:p>
            <w:pPr>
              <w:pStyle w:val="53"/>
            </w:pPr>
            <w:r>
              <w:t>东区</w:t>
            </w:r>
          </w:p>
        </w:tc>
        <w:tc>
          <w:tcPr>
            <w:tcW w:w="345" w:type="pct"/>
            <w:vMerge w:val="restart"/>
            <w:tcMar>
              <w:top w:w="14" w:type="dxa"/>
              <w:left w:w="14" w:type="dxa"/>
              <w:bottom w:w="0" w:type="dxa"/>
              <w:right w:w="14" w:type="dxa"/>
            </w:tcMar>
            <w:vAlign w:val="center"/>
          </w:tcPr>
          <w:p>
            <w:pPr>
              <w:pStyle w:val="53"/>
            </w:pPr>
            <w:r>
              <w:t>主体</w:t>
            </w:r>
          </w:p>
          <w:p>
            <w:pPr>
              <w:pStyle w:val="53"/>
            </w:pPr>
            <w:r>
              <w:t>工程区</w:t>
            </w:r>
          </w:p>
        </w:tc>
        <w:tc>
          <w:tcPr>
            <w:tcW w:w="945" w:type="pct"/>
            <w:tcMar>
              <w:top w:w="14" w:type="dxa"/>
              <w:left w:w="14" w:type="dxa"/>
              <w:bottom w:w="0" w:type="dxa"/>
              <w:right w:w="14" w:type="dxa"/>
            </w:tcMar>
            <w:vAlign w:val="center"/>
          </w:tcPr>
          <w:p>
            <w:pPr>
              <w:pStyle w:val="53"/>
            </w:pPr>
            <w:r>
              <w:t>建筑物区</w:t>
            </w:r>
          </w:p>
        </w:tc>
        <w:tc>
          <w:tcPr>
            <w:tcW w:w="959" w:type="pct"/>
            <w:tcMar>
              <w:top w:w="14" w:type="dxa"/>
              <w:left w:w="14" w:type="dxa"/>
              <w:bottom w:w="0" w:type="dxa"/>
              <w:right w:w="14" w:type="dxa"/>
            </w:tcMar>
            <w:vAlign w:val="center"/>
          </w:tcPr>
          <w:p>
            <w:pPr>
              <w:pStyle w:val="53"/>
            </w:pPr>
            <w:r>
              <w:t>3.14</w:t>
            </w:r>
          </w:p>
        </w:tc>
        <w:tc>
          <w:tcPr>
            <w:tcW w:w="731" w:type="pct"/>
            <w:vMerge w:val="restart"/>
            <w:tcMar>
              <w:top w:w="14" w:type="dxa"/>
              <w:left w:w="14" w:type="dxa"/>
              <w:bottom w:w="0" w:type="dxa"/>
              <w:right w:w="14" w:type="dxa"/>
            </w:tcMar>
            <w:vAlign w:val="center"/>
          </w:tcPr>
          <w:p>
            <w:pPr>
              <w:pStyle w:val="53"/>
            </w:pPr>
            <w:r>
              <w:t>0.30</w:t>
            </w:r>
          </w:p>
        </w:tc>
        <w:tc>
          <w:tcPr>
            <w:tcW w:w="563" w:type="pct"/>
            <w:vMerge w:val="restart"/>
            <w:tcMar>
              <w:top w:w="14" w:type="dxa"/>
              <w:left w:w="14" w:type="dxa"/>
              <w:bottom w:w="0" w:type="dxa"/>
              <w:right w:w="14" w:type="dxa"/>
            </w:tcMar>
            <w:vAlign w:val="center"/>
          </w:tcPr>
          <w:p>
            <w:pPr>
              <w:pStyle w:val="53"/>
            </w:pPr>
            <w:r>
              <w:t>14.06</w:t>
            </w:r>
          </w:p>
        </w:tc>
        <w:tc>
          <w:tcPr>
            <w:tcW w:w="1112" w:type="pct"/>
            <w:tcMar>
              <w:top w:w="14" w:type="dxa"/>
              <w:left w:w="14" w:type="dxa"/>
              <w:bottom w:w="0" w:type="dxa"/>
              <w:right w:w="14" w:type="dxa"/>
            </w:tcMar>
            <w:vAlign w:val="center"/>
          </w:tcPr>
          <w:p>
            <w:pPr>
              <w:pStyle w:val="53"/>
            </w:pPr>
            <w:r>
              <w:t>住宅楼、商业楼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道路及硬化场地区</w:t>
            </w:r>
          </w:p>
        </w:tc>
        <w:tc>
          <w:tcPr>
            <w:tcW w:w="959" w:type="pct"/>
            <w:tcMar>
              <w:top w:w="14" w:type="dxa"/>
              <w:left w:w="14" w:type="dxa"/>
              <w:bottom w:w="0" w:type="dxa"/>
              <w:right w:w="14" w:type="dxa"/>
            </w:tcMar>
            <w:vAlign w:val="center"/>
          </w:tcPr>
          <w:p>
            <w:pPr>
              <w:pStyle w:val="53"/>
            </w:pPr>
            <w:r>
              <w:t>5.76</w:t>
            </w:r>
          </w:p>
        </w:tc>
        <w:tc>
          <w:tcPr>
            <w:tcW w:w="731" w:type="pct"/>
            <w:vMerge w:val="continue"/>
            <w:vAlign w:val="center"/>
          </w:tcPr>
          <w:p>
            <w:pPr>
              <w:pStyle w:val="53"/>
            </w:pPr>
          </w:p>
        </w:tc>
        <w:tc>
          <w:tcPr>
            <w:tcW w:w="563" w:type="pct"/>
            <w:vMerge w:val="continue"/>
            <w:vAlign w:val="center"/>
          </w:tcPr>
          <w:p>
            <w:pPr>
              <w:pStyle w:val="53"/>
            </w:pPr>
          </w:p>
        </w:tc>
        <w:tc>
          <w:tcPr>
            <w:tcW w:w="1112" w:type="pct"/>
            <w:tcMar>
              <w:top w:w="14" w:type="dxa"/>
              <w:left w:w="14" w:type="dxa"/>
              <w:bottom w:w="0" w:type="dxa"/>
              <w:right w:w="14" w:type="dxa"/>
            </w:tcMar>
            <w:vAlign w:val="center"/>
          </w:tcPr>
          <w:p>
            <w:pPr>
              <w:pStyle w:val="53"/>
            </w:pPr>
            <w:r>
              <w:t>道路、广场、停车场等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绿化区</w:t>
            </w:r>
          </w:p>
        </w:tc>
        <w:tc>
          <w:tcPr>
            <w:tcW w:w="959" w:type="pct"/>
            <w:tcMar>
              <w:top w:w="14" w:type="dxa"/>
              <w:left w:w="14" w:type="dxa"/>
              <w:bottom w:w="0" w:type="dxa"/>
              <w:right w:w="14" w:type="dxa"/>
            </w:tcMar>
            <w:vAlign w:val="center"/>
          </w:tcPr>
          <w:p>
            <w:pPr>
              <w:pStyle w:val="53"/>
            </w:pPr>
            <w:r>
              <w:t>4.86</w:t>
            </w:r>
          </w:p>
        </w:tc>
        <w:tc>
          <w:tcPr>
            <w:tcW w:w="731" w:type="pct"/>
            <w:vMerge w:val="continue"/>
            <w:vAlign w:val="center"/>
          </w:tcPr>
          <w:p>
            <w:pPr>
              <w:pStyle w:val="53"/>
            </w:pPr>
          </w:p>
        </w:tc>
        <w:tc>
          <w:tcPr>
            <w:tcW w:w="563" w:type="pct"/>
            <w:vMerge w:val="continue"/>
            <w:vAlign w:val="center"/>
          </w:tcPr>
          <w:p>
            <w:pPr>
              <w:pStyle w:val="53"/>
            </w:pPr>
          </w:p>
        </w:tc>
        <w:tc>
          <w:tcPr>
            <w:tcW w:w="1112" w:type="pct"/>
            <w:tcMar>
              <w:top w:w="14" w:type="dxa"/>
              <w:left w:w="14" w:type="dxa"/>
              <w:bottom w:w="0" w:type="dxa"/>
              <w:right w:w="14" w:type="dxa"/>
            </w:tcMar>
            <w:vAlign w:val="center"/>
          </w:tcPr>
          <w:p>
            <w:pPr>
              <w:pStyle w:val="53"/>
            </w:pPr>
            <w:r>
              <w:t>包括乔灌木和草坪等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restart"/>
            <w:tcMar>
              <w:top w:w="14" w:type="dxa"/>
              <w:left w:w="14" w:type="dxa"/>
              <w:bottom w:w="0" w:type="dxa"/>
              <w:right w:w="14" w:type="dxa"/>
            </w:tcMar>
            <w:vAlign w:val="center"/>
          </w:tcPr>
          <w:p>
            <w:pPr>
              <w:pStyle w:val="53"/>
            </w:pPr>
            <w:r>
              <w:t>临时</w:t>
            </w:r>
          </w:p>
          <w:p>
            <w:pPr>
              <w:pStyle w:val="53"/>
            </w:pPr>
            <w:r>
              <w:t>工程区</w:t>
            </w:r>
          </w:p>
        </w:tc>
        <w:tc>
          <w:tcPr>
            <w:tcW w:w="945" w:type="pct"/>
            <w:tcMar>
              <w:top w:w="14" w:type="dxa"/>
              <w:left w:w="14" w:type="dxa"/>
              <w:bottom w:w="0" w:type="dxa"/>
              <w:right w:w="14" w:type="dxa"/>
            </w:tcMar>
            <w:vAlign w:val="center"/>
          </w:tcPr>
          <w:p>
            <w:pPr>
              <w:pStyle w:val="53"/>
            </w:pPr>
            <w:r>
              <w:t>施工场地</w:t>
            </w:r>
          </w:p>
        </w:tc>
        <w:tc>
          <w:tcPr>
            <w:tcW w:w="959" w:type="pct"/>
            <w:tcMar>
              <w:top w:w="14" w:type="dxa"/>
              <w:left w:w="14" w:type="dxa"/>
              <w:bottom w:w="0" w:type="dxa"/>
              <w:right w:w="14" w:type="dxa"/>
            </w:tcMar>
            <w:vAlign w:val="center"/>
          </w:tcPr>
          <w:p>
            <w:pPr>
              <w:pStyle w:val="53"/>
            </w:pPr>
            <w:r>
              <w:t>（0.25）</w:t>
            </w:r>
          </w:p>
        </w:tc>
        <w:tc>
          <w:tcPr>
            <w:tcW w:w="731" w:type="pct"/>
            <w:vAlign w:val="center"/>
          </w:tcPr>
          <w:p>
            <w:pPr>
              <w:pStyle w:val="53"/>
            </w:pPr>
            <w:r>
              <w:t>/</w:t>
            </w:r>
          </w:p>
        </w:tc>
        <w:tc>
          <w:tcPr>
            <w:tcW w:w="563" w:type="pct"/>
            <w:vAlign w:val="center"/>
          </w:tcPr>
          <w:p>
            <w:pPr>
              <w:pStyle w:val="53"/>
            </w:pPr>
            <w:r>
              <w:t>（0.25）</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施工便道</w:t>
            </w:r>
          </w:p>
        </w:tc>
        <w:tc>
          <w:tcPr>
            <w:tcW w:w="959" w:type="pct"/>
            <w:tcMar>
              <w:top w:w="14" w:type="dxa"/>
              <w:left w:w="14" w:type="dxa"/>
              <w:bottom w:w="0" w:type="dxa"/>
              <w:right w:w="14" w:type="dxa"/>
            </w:tcMar>
            <w:vAlign w:val="center"/>
          </w:tcPr>
          <w:p>
            <w:pPr>
              <w:pStyle w:val="53"/>
            </w:pPr>
            <w:r>
              <w:t>（0.46）</w:t>
            </w:r>
          </w:p>
        </w:tc>
        <w:tc>
          <w:tcPr>
            <w:tcW w:w="731" w:type="pct"/>
            <w:vAlign w:val="center"/>
          </w:tcPr>
          <w:p>
            <w:pPr>
              <w:pStyle w:val="53"/>
            </w:pPr>
            <w:r>
              <w:t>/</w:t>
            </w:r>
          </w:p>
        </w:tc>
        <w:tc>
          <w:tcPr>
            <w:tcW w:w="563" w:type="pct"/>
            <w:vAlign w:val="center"/>
          </w:tcPr>
          <w:p>
            <w:pPr>
              <w:pStyle w:val="53"/>
            </w:pPr>
            <w:r>
              <w:t>（0.46）</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1号临时堆土场</w:t>
            </w:r>
          </w:p>
        </w:tc>
        <w:tc>
          <w:tcPr>
            <w:tcW w:w="959" w:type="pct"/>
            <w:tcMar>
              <w:top w:w="14" w:type="dxa"/>
              <w:left w:w="14" w:type="dxa"/>
              <w:bottom w:w="0" w:type="dxa"/>
              <w:right w:w="14" w:type="dxa"/>
            </w:tcMar>
            <w:vAlign w:val="center"/>
          </w:tcPr>
          <w:p>
            <w:pPr>
              <w:pStyle w:val="53"/>
            </w:pPr>
            <w:r>
              <w:t>（1.10）</w:t>
            </w:r>
          </w:p>
        </w:tc>
        <w:tc>
          <w:tcPr>
            <w:tcW w:w="731" w:type="pct"/>
            <w:vAlign w:val="center"/>
          </w:tcPr>
          <w:p>
            <w:pPr>
              <w:pStyle w:val="53"/>
            </w:pPr>
            <w:r>
              <w:t>/</w:t>
            </w:r>
          </w:p>
        </w:tc>
        <w:tc>
          <w:tcPr>
            <w:tcW w:w="563" w:type="pct"/>
            <w:vAlign w:val="center"/>
          </w:tcPr>
          <w:p>
            <w:pPr>
              <w:pStyle w:val="53"/>
            </w:pPr>
            <w:r>
              <w:t>（1.10）</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1290" w:type="pct"/>
            <w:gridSpan w:val="2"/>
            <w:tcMar>
              <w:top w:w="14" w:type="dxa"/>
              <w:left w:w="14" w:type="dxa"/>
              <w:bottom w:w="0" w:type="dxa"/>
              <w:right w:w="14" w:type="dxa"/>
            </w:tcMar>
            <w:vAlign w:val="center"/>
          </w:tcPr>
          <w:p>
            <w:pPr>
              <w:pStyle w:val="53"/>
            </w:pPr>
            <w:r>
              <w:t>小计</w:t>
            </w:r>
          </w:p>
        </w:tc>
        <w:tc>
          <w:tcPr>
            <w:tcW w:w="959" w:type="pct"/>
            <w:tcMar>
              <w:top w:w="14" w:type="dxa"/>
              <w:left w:w="14" w:type="dxa"/>
              <w:bottom w:w="0" w:type="dxa"/>
              <w:right w:w="14" w:type="dxa"/>
            </w:tcMar>
            <w:vAlign w:val="center"/>
          </w:tcPr>
          <w:p>
            <w:pPr>
              <w:pStyle w:val="53"/>
            </w:pPr>
            <w:r>
              <w:t>13.76</w:t>
            </w:r>
          </w:p>
        </w:tc>
        <w:tc>
          <w:tcPr>
            <w:tcW w:w="731" w:type="pct"/>
            <w:tcMar>
              <w:top w:w="14" w:type="dxa"/>
              <w:left w:w="14" w:type="dxa"/>
              <w:bottom w:w="0" w:type="dxa"/>
              <w:right w:w="14" w:type="dxa"/>
            </w:tcMar>
            <w:vAlign w:val="center"/>
          </w:tcPr>
          <w:p>
            <w:pPr>
              <w:pStyle w:val="53"/>
            </w:pPr>
            <w:r>
              <w:t>0.30</w:t>
            </w:r>
          </w:p>
        </w:tc>
        <w:tc>
          <w:tcPr>
            <w:tcW w:w="563" w:type="pct"/>
            <w:tcMar>
              <w:top w:w="14" w:type="dxa"/>
              <w:left w:w="14" w:type="dxa"/>
              <w:bottom w:w="0" w:type="dxa"/>
              <w:right w:w="14" w:type="dxa"/>
            </w:tcMar>
            <w:vAlign w:val="center"/>
          </w:tcPr>
          <w:p>
            <w:pPr>
              <w:pStyle w:val="53"/>
            </w:pPr>
            <w:r>
              <w:t>14.06</w:t>
            </w:r>
          </w:p>
        </w:tc>
        <w:tc>
          <w:tcPr>
            <w:tcW w:w="1112" w:type="pct"/>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restart"/>
            <w:vAlign w:val="center"/>
          </w:tcPr>
          <w:p>
            <w:pPr>
              <w:pStyle w:val="53"/>
            </w:pPr>
            <w:r>
              <w:t>西区</w:t>
            </w:r>
          </w:p>
        </w:tc>
        <w:tc>
          <w:tcPr>
            <w:tcW w:w="345" w:type="pct"/>
            <w:vMerge w:val="restart"/>
            <w:tcMar>
              <w:top w:w="14" w:type="dxa"/>
              <w:left w:w="14" w:type="dxa"/>
              <w:bottom w:w="0" w:type="dxa"/>
              <w:right w:w="14" w:type="dxa"/>
            </w:tcMar>
            <w:vAlign w:val="center"/>
          </w:tcPr>
          <w:p>
            <w:pPr>
              <w:pStyle w:val="53"/>
            </w:pPr>
            <w:r>
              <w:t>主体</w:t>
            </w:r>
          </w:p>
          <w:p>
            <w:pPr>
              <w:pStyle w:val="53"/>
            </w:pPr>
            <w:r>
              <w:t>工程区</w:t>
            </w:r>
          </w:p>
        </w:tc>
        <w:tc>
          <w:tcPr>
            <w:tcW w:w="945" w:type="pct"/>
            <w:tcMar>
              <w:top w:w="14" w:type="dxa"/>
              <w:left w:w="14" w:type="dxa"/>
              <w:bottom w:w="0" w:type="dxa"/>
              <w:right w:w="14" w:type="dxa"/>
            </w:tcMar>
            <w:vAlign w:val="center"/>
          </w:tcPr>
          <w:p>
            <w:pPr>
              <w:pStyle w:val="53"/>
            </w:pPr>
            <w:r>
              <w:t>建筑物区</w:t>
            </w:r>
          </w:p>
        </w:tc>
        <w:tc>
          <w:tcPr>
            <w:tcW w:w="959" w:type="pct"/>
            <w:tcMar>
              <w:top w:w="14" w:type="dxa"/>
              <w:left w:w="14" w:type="dxa"/>
              <w:bottom w:w="0" w:type="dxa"/>
              <w:right w:w="14" w:type="dxa"/>
            </w:tcMar>
            <w:vAlign w:val="center"/>
          </w:tcPr>
          <w:p>
            <w:pPr>
              <w:pStyle w:val="53"/>
            </w:pPr>
            <w:r>
              <w:t>0.95</w:t>
            </w:r>
          </w:p>
        </w:tc>
        <w:tc>
          <w:tcPr>
            <w:tcW w:w="731" w:type="pct"/>
            <w:vMerge w:val="restart"/>
            <w:tcMar>
              <w:top w:w="14" w:type="dxa"/>
              <w:left w:w="14" w:type="dxa"/>
              <w:bottom w:w="0" w:type="dxa"/>
              <w:right w:w="14" w:type="dxa"/>
            </w:tcMar>
            <w:vAlign w:val="center"/>
          </w:tcPr>
          <w:p>
            <w:pPr>
              <w:pStyle w:val="53"/>
            </w:pPr>
            <w:r>
              <w:t>0.13</w:t>
            </w:r>
          </w:p>
        </w:tc>
        <w:tc>
          <w:tcPr>
            <w:tcW w:w="563" w:type="pct"/>
            <w:vMerge w:val="restart"/>
            <w:tcMar>
              <w:top w:w="14" w:type="dxa"/>
              <w:left w:w="14" w:type="dxa"/>
              <w:bottom w:w="0" w:type="dxa"/>
              <w:right w:w="14" w:type="dxa"/>
            </w:tcMar>
            <w:vAlign w:val="center"/>
          </w:tcPr>
          <w:p>
            <w:pPr>
              <w:pStyle w:val="53"/>
            </w:pPr>
            <w:r>
              <w:t>4.97</w:t>
            </w:r>
          </w:p>
        </w:tc>
        <w:tc>
          <w:tcPr>
            <w:tcW w:w="1112" w:type="pct"/>
            <w:tcMar>
              <w:top w:w="14" w:type="dxa"/>
              <w:left w:w="14" w:type="dxa"/>
              <w:bottom w:w="0" w:type="dxa"/>
              <w:right w:w="14" w:type="dxa"/>
            </w:tcMar>
            <w:vAlign w:val="center"/>
          </w:tcPr>
          <w:p>
            <w:pPr>
              <w:pStyle w:val="53"/>
            </w:pPr>
            <w:r>
              <w:t>住宅楼、商业楼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道路及硬化场地区</w:t>
            </w:r>
          </w:p>
        </w:tc>
        <w:tc>
          <w:tcPr>
            <w:tcW w:w="959" w:type="pct"/>
            <w:tcMar>
              <w:top w:w="14" w:type="dxa"/>
              <w:left w:w="14" w:type="dxa"/>
              <w:bottom w:w="0" w:type="dxa"/>
              <w:right w:w="14" w:type="dxa"/>
            </w:tcMar>
            <w:vAlign w:val="center"/>
          </w:tcPr>
          <w:p>
            <w:pPr>
              <w:pStyle w:val="53"/>
            </w:pPr>
            <w:r>
              <w:t>2.17</w:t>
            </w:r>
          </w:p>
        </w:tc>
        <w:tc>
          <w:tcPr>
            <w:tcW w:w="731" w:type="pct"/>
            <w:vMerge w:val="continue"/>
            <w:vAlign w:val="center"/>
          </w:tcPr>
          <w:p>
            <w:pPr>
              <w:pStyle w:val="53"/>
            </w:pPr>
          </w:p>
        </w:tc>
        <w:tc>
          <w:tcPr>
            <w:tcW w:w="563" w:type="pct"/>
            <w:vMerge w:val="continue"/>
            <w:vAlign w:val="center"/>
          </w:tcPr>
          <w:p>
            <w:pPr>
              <w:pStyle w:val="53"/>
            </w:pPr>
          </w:p>
        </w:tc>
        <w:tc>
          <w:tcPr>
            <w:tcW w:w="1112" w:type="pct"/>
            <w:tcMar>
              <w:top w:w="14" w:type="dxa"/>
              <w:left w:w="14" w:type="dxa"/>
              <w:bottom w:w="0" w:type="dxa"/>
              <w:right w:w="14" w:type="dxa"/>
            </w:tcMar>
            <w:vAlign w:val="center"/>
          </w:tcPr>
          <w:p>
            <w:pPr>
              <w:pStyle w:val="53"/>
            </w:pPr>
            <w:r>
              <w:t>道路、广场、停车场等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绿化区</w:t>
            </w:r>
          </w:p>
        </w:tc>
        <w:tc>
          <w:tcPr>
            <w:tcW w:w="959" w:type="pct"/>
            <w:tcMar>
              <w:top w:w="14" w:type="dxa"/>
              <w:left w:w="14" w:type="dxa"/>
              <w:bottom w:w="0" w:type="dxa"/>
              <w:right w:w="14" w:type="dxa"/>
            </w:tcMar>
            <w:vAlign w:val="center"/>
          </w:tcPr>
          <w:p>
            <w:pPr>
              <w:pStyle w:val="53"/>
            </w:pPr>
            <w:r>
              <w:t>1.72</w:t>
            </w:r>
          </w:p>
        </w:tc>
        <w:tc>
          <w:tcPr>
            <w:tcW w:w="731" w:type="pct"/>
            <w:vMerge w:val="continue"/>
            <w:vAlign w:val="center"/>
          </w:tcPr>
          <w:p>
            <w:pPr>
              <w:pStyle w:val="53"/>
            </w:pPr>
          </w:p>
        </w:tc>
        <w:tc>
          <w:tcPr>
            <w:tcW w:w="563" w:type="pct"/>
            <w:vMerge w:val="continue"/>
            <w:vAlign w:val="center"/>
          </w:tcPr>
          <w:p>
            <w:pPr>
              <w:pStyle w:val="53"/>
            </w:pPr>
          </w:p>
        </w:tc>
        <w:tc>
          <w:tcPr>
            <w:tcW w:w="1112" w:type="pct"/>
            <w:tcMar>
              <w:top w:w="14" w:type="dxa"/>
              <w:left w:w="14" w:type="dxa"/>
              <w:bottom w:w="0" w:type="dxa"/>
              <w:right w:w="14" w:type="dxa"/>
            </w:tcMar>
            <w:vAlign w:val="center"/>
          </w:tcPr>
          <w:p>
            <w:pPr>
              <w:pStyle w:val="53"/>
            </w:pPr>
            <w:r>
              <w:t>包括乔灌木和草坪等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restart"/>
            <w:tcMar>
              <w:top w:w="14" w:type="dxa"/>
              <w:left w:w="14" w:type="dxa"/>
              <w:bottom w:w="0" w:type="dxa"/>
              <w:right w:w="14" w:type="dxa"/>
            </w:tcMar>
            <w:vAlign w:val="center"/>
          </w:tcPr>
          <w:p>
            <w:pPr>
              <w:pStyle w:val="53"/>
            </w:pPr>
            <w:r>
              <w:t>临时</w:t>
            </w:r>
          </w:p>
          <w:p>
            <w:pPr>
              <w:pStyle w:val="53"/>
            </w:pPr>
            <w:r>
              <w:t>工程区</w:t>
            </w:r>
          </w:p>
        </w:tc>
        <w:tc>
          <w:tcPr>
            <w:tcW w:w="945" w:type="pct"/>
            <w:tcMar>
              <w:top w:w="14" w:type="dxa"/>
              <w:left w:w="14" w:type="dxa"/>
              <w:bottom w:w="0" w:type="dxa"/>
              <w:right w:w="14" w:type="dxa"/>
            </w:tcMar>
            <w:vAlign w:val="center"/>
          </w:tcPr>
          <w:p>
            <w:pPr>
              <w:pStyle w:val="53"/>
            </w:pPr>
            <w:r>
              <w:t>施工场地</w:t>
            </w:r>
          </w:p>
        </w:tc>
        <w:tc>
          <w:tcPr>
            <w:tcW w:w="959" w:type="pct"/>
            <w:tcMar>
              <w:top w:w="14" w:type="dxa"/>
              <w:left w:w="14" w:type="dxa"/>
              <w:bottom w:w="0" w:type="dxa"/>
              <w:right w:w="14" w:type="dxa"/>
            </w:tcMar>
            <w:vAlign w:val="center"/>
          </w:tcPr>
          <w:p>
            <w:pPr>
              <w:pStyle w:val="53"/>
            </w:pPr>
            <w:r>
              <w:t>（0.12）</w:t>
            </w:r>
          </w:p>
        </w:tc>
        <w:tc>
          <w:tcPr>
            <w:tcW w:w="731" w:type="pct"/>
            <w:vAlign w:val="center"/>
          </w:tcPr>
          <w:p>
            <w:pPr>
              <w:pStyle w:val="53"/>
            </w:pPr>
            <w:r>
              <w:t>/</w:t>
            </w:r>
          </w:p>
        </w:tc>
        <w:tc>
          <w:tcPr>
            <w:tcW w:w="563" w:type="pct"/>
            <w:vAlign w:val="center"/>
          </w:tcPr>
          <w:p>
            <w:pPr>
              <w:pStyle w:val="53"/>
            </w:pPr>
            <w:r>
              <w:t>（0.12）</w:t>
            </w:r>
          </w:p>
        </w:tc>
        <w:tc>
          <w:tcPr>
            <w:tcW w:w="1112" w:type="pct"/>
            <w:tcMar>
              <w:top w:w="14" w:type="dxa"/>
              <w:left w:w="14" w:type="dxa"/>
              <w:bottom w:w="0" w:type="dxa"/>
              <w:right w:w="14" w:type="dxa"/>
            </w:tcMar>
            <w:vAlign w:val="center"/>
          </w:tcPr>
          <w:p>
            <w:pPr>
              <w:pStyle w:val="53"/>
            </w:pPr>
            <w: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施工便道</w:t>
            </w:r>
          </w:p>
        </w:tc>
        <w:tc>
          <w:tcPr>
            <w:tcW w:w="959" w:type="pct"/>
            <w:tcMar>
              <w:top w:w="14" w:type="dxa"/>
              <w:left w:w="14" w:type="dxa"/>
              <w:bottom w:w="0" w:type="dxa"/>
              <w:right w:w="14" w:type="dxa"/>
            </w:tcMar>
            <w:vAlign w:val="center"/>
          </w:tcPr>
          <w:p>
            <w:pPr>
              <w:pStyle w:val="53"/>
            </w:pPr>
            <w:r>
              <w:t>（0.30）</w:t>
            </w:r>
          </w:p>
        </w:tc>
        <w:tc>
          <w:tcPr>
            <w:tcW w:w="731" w:type="pct"/>
            <w:vAlign w:val="center"/>
          </w:tcPr>
          <w:p>
            <w:pPr>
              <w:pStyle w:val="53"/>
            </w:pPr>
            <w:r>
              <w:t>/</w:t>
            </w:r>
          </w:p>
        </w:tc>
        <w:tc>
          <w:tcPr>
            <w:tcW w:w="563" w:type="pct"/>
            <w:vAlign w:val="center"/>
          </w:tcPr>
          <w:p>
            <w:pPr>
              <w:pStyle w:val="53"/>
            </w:pPr>
            <w:r>
              <w:t>（0.30）</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2号临时堆土场</w:t>
            </w:r>
          </w:p>
        </w:tc>
        <w:tc>
          <w:tcPr>
            <w:tcW w:w="959" w:type="pct"/>
            <w:tcMar>
              <w:top w:w="14" w:type="dxa"/>
              <w:left w:w="14" w:type="dxa"/>
              <w:bottom w:w="0" w:type="dxa"/>
              <w:right w:w="14" w:type="dxa"/>
            </w:tcMar>
            <w:vAlign w:val="center"/>
          </w:tcPr>
          <w:p>
            <w:pPr>
              <w:pStyle w:val="53"/>
            </w:pPr>
            <w:r>
              <w:t>（0.56）</w:t>
            </w:r>
          </w:p>
        </w:tc>
        <w:tc>
          <w:tcPr>
            <w:tcW w:w="731" w:type="pct"/>
            <w:vAlign w:val="center"/>
          </w:tcPr>
          <w:p>
            <w:pPr>
              <w:pStyle w:val="53"/>
            </w:pPr>
            <w:r>
              <w:t>/</w:t>
            </w:r>
          </w:p>
        </w:tc>
        <w:tc>
          <w:tcPr>
            <w:tcW w:w="563" w:type="pct"/>
            <w:vAlign w:val="center"/>
          </w:tcPr>
          <w:p>
            <w:pPr>
              <w:pStyle w:val="53"/>
            </w:pPr>
            <w:r>
              <w:t>（0.56）</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1290" w:type="pct"/>
            <w:gridSpan w:val="2"/>
            <w:tcMar>
              <w:top w:w="14" w:type="dxa"/>
              <w:left w:w="14" w:type="dxa"/>
              <w:bottom w:w="0" w:type="dxa"/>
              <w:right w:w="14" w:type="dxa"/>
            </w:tcMar>
            <w:vAlign w:val="center"/>
          </w:tcPr>
          <w:p>
            <w:pPr>
              <w:pStyle w:val="53"/>
            </w:pPr>
            <w:r>
              <w:t>小计</w:t>
            </w:r>
          </w:p>
        </w:tc>
        <w:tc>
          <w:tcPr>
            <w:tcW w:w="959" w:type="pct"/>
            <w:tcMar>
              <w:top w:w="14" w:type="dxa"/>
              <w:left w:w="14" w:type="dxa"/>
              <w:bottom w:w="0" w:type="dxa"/>
              <w:right w:w="14" w:type="dxa"/>
            </w:tcMar>
            <w:vAlign w:val="center"/>
          </w:tcPr>
          <w:p>
            <w:pPr>
              <w:pStyle w:val="53"/>
            </w:pPr>
            <w:r>
              <w:t>4.84</w:t>
            </w:r>
          </w:p>
        </w:tc>
        <w:tc>
          <w:tcPr>
            <w:tcW w:w="731" w:type="pct"/>
            <w:tcMar>
              <w:top w:w="14" w:type="dxa"/>
              <w:left w:w="14" w:type="dxa"/>
              <w:bottom w:w="0" w:type="dxa"/>
              <w:right w:w="14" w:type="dxa"/>
            </w:tcMar>
            <w:vAlign w:val="center"/>
          </w:tcPr>
          <w:p>
            <w:pPr>
              <w:pStyle w:val="53"/>
            </w:pPr>
            <w:r>
              <w:t>0.13</w:t>
            </w:r>
          </w:p>
        </w:tc>
        <w:tc>
          <w:tcPr>
            <w:tcW w:w="563" w:type="pct"/>
            <w:tcMar>
              <w:top w:w="14" w:type="dxa"/>
              <w:left w:w="14" w:type="dxa"/>
              <w:bottom w:w="0" w:type="dxa"/>
              <w:right w:w="14" w:type="dxa"/>
            </w:tcMar>
            <w:vAlign w:val="center"/>
          </w:tcPr>
          <w:p>
            <w:pPr>
              <w:pStyle w:val="53"/>
            </w:pPr>
            <w:r>
              <w:t>4.97</w:t>
            </w:r>
          </w:p>
        </w:tc>
        <w:tc>
          <w:tcPr>
            <w:tcW w:w="1112" w:type="pct"/>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35" w:type="pct"/>
            <w:gridSpan w:val="3"/>
            <w:vAlign w:val="center"/>
          </w:tcPr>
          <w:p>
            <w:pPr>
              <w:pStyle w:val="53"/>
            </w:pPr>
            <w:r>
              <w:t>东西区之间道路</w:t>
            </w:r>
          </w:p>
        </w:tc>
        <w:tc>
          <w:tcPr>
            <w:tcW w:w="959" w:type="pct"/>
            <w:tcMar>
              <w:top w:w="14" w:type="dxa"/>
              <w:left w:w="14" w:type="dxa"/>
              <w:bottom w:w="0" w:type="dxa"/>
              <w:right w:w="14" w:type="dxa"/>
            </w:tcMar>
            <w:vAlign w:val="center"/>
          </w:tcPr>
          <w:p>
            <w:pPr>
              <w:pStyle w:val="53"/>
            </w:pPr>
            <w:r>
              <w:t>/</w:t>
            </w:r>
          </w:p>
        </w:tc>
        <w:tc>
          <w:tcPr>
            <w:tcW w:w="731" w:type="pct"/>
            <w:tcMar>
              <w:top w:w="14" w:type="dxa"/>
              <w:left w:w="14" w:type="dxa"/>
              <w:bottom w:w="0" w:type="dxa"/>
              <w:right w:w="14" w:type="dxa"/>
            </w:tcMar>
            <w:vAlign w:val="center"/>
          </w:tcPr>
          <w:p>
            <w:pPr>
              <w:pStyle w:val="53"/>
            </w:pPr>
            <w:r>
              <w:t>0.88</w:t>
            </w:r>
          </w:p>
        </w:tc>
        <w:tc>
          <w:tcPr>
            <w:tcW w:w="563" w:type="pct"/>
            <w:tcMar>
              <w:top w:w="14" w:type="dxa"/>
              <w:left w:w="14" w:type="dxa"/>
              <w:bottom w:w="0" w:type="dxa"/>
              <w:right w:w="14" w:type="dxa"/>
            </w:tcMar>
            <w:vAlign w:val="center"/>
          </w:tcPr>
          <w:p>
            <w:pPr>
              <w:pStyle w:val="53"/>
            </w:pPr>
            <w:r>
              <w:t>0.88</w:t>
            </w:r>
          </w:p>
        </w:tc>
        <w:tc>
          <w:tcPr>
            <w:tcW w:w="1112" w:type="pct"/>
            <w:tcMar>
              <w:top w:w="14" w:type="dxa"/>
              <w:left w:w="14" w:type="dxa"/>
              <w:bottom w:w="0" w:type="dxa"/>
              <w:right w:w="14" w:type="dxa"/>
            </w:tcMar>
            <w:vAlign w:val="center"/>
          </w:tcPr>
          <w:p>
            <w:pPr>
              <w:pStyle w:val="53"/>
            </w:pPr>
            <w:r>
              <w:t>纳入直接影响区</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restart"/>
            <w:vAlign w:val="center"/>
          </w:tcPr>
          <w:p>
            <w:pPr>
              <w:pStyle w:val="53"/>
            </w:pPr>
            <w:r>
              <w:t>合计</w:t>
            </w:r>
          </w:p>
        </w:tc>
        <w:tc>
          <w:tcPr>
            <w:tcW w:w="345" w:type="pct"/>
            <w:vMerge w:val="restart"/>
            <w:tcMar>
              <w:top w:w="14" w:type="dxa"/>
              <w:left w:w="14" w:type="dxa"/>
              <w:bottom w:w="0" w:type="dxa"/>
              <w:right w:w="14" w:type="dxa"/>
            </w:tcMar>
            <w:vAlign w:val="center"/>
          </w:tcPr>
          <w:p>
            <w:pPr>
              <w:pStyle w:val="53"/>
            </w:pPr>
            <w:r>
              <w:t>主体</w:t>
            </w:r>
          </w:p>
          <w:p>
            <w:pPr>
              <w:pStyle w:val="53"/>
            </w:pPr>
            <w:r>
              <w:t>工程区</w:t>
            </w:r>
          </w:p>
        </w:tc>
        <w:tc>
          <w:tcPr>
            <w:tcW w:w="945" w:type="pct"/>
            <w:tcMar>
              <w:top w:w="14" w:type="dxa"/>
              <w:left w:w="14" w:type="dxa"/>
              <w:bottom w:w="0" w:type="dxa"/>
              <w:right w:w="14" w:type="dxa"/>
            </w:tcMar>
            <w:vAlign w:val="center"/>
          </w:tcPr>
          <w:p>
            <w:pPr>
              <w:pStyle w:val="53"/>
            </w:pPr>
            <w:r>
              <w:t>建筑物区</w:t>
            </w:r>
          </w:p>
        </w:tc>
        <w:tc>
          <w:tcPr>
            <w:tcW w:w="959" w:type="pct"/>
            <w:tcMar>
              <w:top w:w="14" w:type="dxa"/>
              <w:left w:w="14" w:type="dxa"/>
              <w:bottom w:w="0" w:type="dxa"/>
              <w:right w:w="14" w:type="dxa"/>
            </w:tcMar>
            <w:vAlign w:val="center"/>
          </w:tcPr>
          <w:p>
            <w:pPr>
              <w:pStyle w:val="53"/>
            </w:pPr>
            <w:r>
              <w:t>4.09</w:t>
            </w:r>
          </w:p>
        </w:tc>
        <w:tc>
          <w:tcPr>
            <w:tcW w:w="731" w:type="pct"/>
            <w:vMerge w:val="restart"/>
            <w:tcMar>
              <w:top w:w="14" w:type="dxa"/>
              <w:left w:w="14" w:type="dxa"/>
              <w:bottom w:w="0" w:type="dxa"/>
              <w:right w:w="14" w:type="dxa"/>
            </w:tcMar>
            <w:vAlign w:val="center"/>
          </w:tcPr>
          <w:p>
            <w:pPr>
              <w:pStyle w:val="53"/>
            </w:pPr>
            <w:r>
              <w:t>1.31</w:t>
            </w:r>
          </w:p>
        </w:tc>
        <w:tc>
          <w:tcPr>
            <w:tcW w:w="563" w:type="pct"/>
            <w:vMerge w:val="restart"/>
            <w:tcMar>
              <w:top w:w="14" w:type="dxa"/>
              <w:left w:w="14" w:type="dxa"/>
              <w:bottom w:w="0" w:type="dxa"/>
              <w:right w:w="14" w:type="dxa"/>
            </w:tcMar>
            <w:vAlign w:val="center"/>
          </w:tcPr>
          <w:p>
            <w:pPr>
              <w:pStyle w:val="53"/>
            </w:pPr>
            <w:r>
              <w:t>19.91</w:t>
            </w:r>
          </w:p>
        </w:tc>
        <w:tc>
          <w:tcPr>
            <w:tcW w:w="1112" w:type="pct"/>
            <w:tcMar>
              <w:top w:w="14" w:type="dxa"/>
              <w:left w:w="14" w:type="dxa"/>
              <w:bottom w:w="0" w:type="dxa"/>
              <w:right w:w="14" w:type="dxa"/>
            </w:tcMar>
            <w:vAlign w:val="center"/>
          </w:tcPr>
          <w:p>
            <w:pPr>
              <w:pStyle w:val="53"/>
            </w:pPr>
            <w:r>
              <w:t>住宅楼、商业楼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道路及硬化场地区</w:t>
            </w:r>
          </w:p>
        </w:tc>
        <w:tc>
          <w:tcPr>
            <w:tcW w:w="959" w:type="pct"/>
            <w:tcMar>
              <w:top w:w="14" w:type="dxa"/>
              <w:left w:w="14" w:type="dxa"/>
              <w:bottom w:w="0" w:type="dxa"/>
              <w:right w:w="14" w:type="dxa"/>
            </w:tcMar>
            <w:vAlign w:val="center"/>
          </w:tcPr>
          <w:p>
            <w:pPr>
              <w:pStyle w:val="53"/>
            </w:pPr>
            <w:r>
              <w:t>7.93</w:t>
            </w:r>
          </w:p>
        </w:tc>
        <w:tc>
          <w:tcPr>
            <w:tcW w:w="731" w:type="pct"/>
            <w:vMerge w:val="continue"/>
            <w:vAlign w:val="center"/>
          </w:tcPr>
          <w:p>
            <w:pPr>
              <w:pStyle w:val="53"/>
            </w:pPr>
          </w:p>
        </w:tc>
        <w:tc>
          <w:tcPr>
            <w:tcW w:w="563" w:type="pct"/>
            <w:vMerge w:val="continue"/>
            <w:vAlign w:val="center"/>
          </w:tcPr>
          <w:p>
            <w:pPr>
              <w:pStyle w:val="53"/>
            </w:pPr>
          </w:p>
        </w:tc>
        <w:tc>
          <w:tcPr>
            <w:tcW w:w="1112" w:type="pct"/>
            <w:tcMar>
              <w:top w:w="14" w:type="dxa"/>
              <w:left w:w="14" w:type="dxa"/>
              <w:bottom w:w="0" w:type="dxa"/>
              <w:right w:w="14" w:type="dxa"/>
            </w:tcMar>
            <w:vAlign w:val="center"/>
          </w:tcPr>
          <w:p>
            <w:pPr>
              <w:pStyle w:val="53"/>
            </w:pPr>
            <w:r>
              <w:t>道路、广场、停车场等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绿化区</w:t>
            </w:r>
          </w:p>
        </w:tc>
        <w:tc>
          <w:tcPr>
            <w:tcW w:w="959" w:type="pct"/>
            <w:tcMar>
              <w:top w:w="14" w:type="dxa"/>
              <w:left w:w="14" w:type="dxa"/>
              <w:bottom w:w="0" w:type="dxa"/>
              <w:right w:w="14" w:type="dxa"/>
            </w:tcMar>
            <w:vAlign w:val="center"/>
          </w:tcPr>
          <w:p>
            <w:pPr>
              <w:pStyle w:val="53"/>
            </w:pPr>
            <w:r>
              <w:t>6.58</w:t>
            </w:r>
          </w:p>
        </w:tc>
        <w:tc>
          <w:tcPr>
            <w:tcW w:w="731" w:type="pct"/>
            <w:vMerge w:val="continue"/>
            <w:vAlign w:val="center"/>
          </w:tcPr>
          <w:p>
            <w:pPr>
              <w:pStyle w:val="53"/>
            </w:pPr>
          </w:p>
        </w:tc>
        <w:tc>
          <w:tcPr>
            <w:tcW w:w="563" w:type="pct"/>
            <w:vMerge w:val="continue"/>
            <w:vAlign w:val="center"/>
          </w:tcPr>
          <w:p>
            <w:pPr>
              <w:pStyle w:val="53"/>
            </w:pPr>
          </w:p>
        </w:tc>
        <w:tc>
          <w:tcPr>
            <w:tcW w:w="1112" w:type="pct"/>
            <w:tcMar>
              <w:top w:w="14" w:type="dxa"/>
              <w:left w:w="14" w:type="dxa"/>
              <w:bottom w:w="0" w:type="dxa"/>
              <w:right w:w="14" w:type="dxa"/>
            </w:tcMar>
            <w:vAlign w:val="center"/>
          </w:tcPr>
          <w:p>
            <w:pPr>
              <w:pStyle w:val="53"/>
            </w:pPr>
            <w:r>
              <w:t>包括乔灌木和草坪等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restart"/>
            <w:tcMar>
              <w:top w:w="14" w:type="dxa"/>
              <w:left w:w="14" w:type="dxa"/>
              <w:bottom w:w="0" w:type="dxa"/>
              <w:right w:w="14" w:type="dxa"/>
            </w:tcMar>
            <w:vAlign w:val="center"/>
          </w:tcPr>
          <w:p>
            <w:pPr>
              <w:pStyle w:val="53"/>
            </w:pPr>
            <w:r>
              <w:t>临时</w:t>
            </w:r>
          </w:p>
          <w:p>
            <w:pPr>
              <w:pStyle w:val="53"/>
            </w:pPr>
            <w:r>
              <w:t>工程区</w:t>
            </w:r>
          </w:p>
        </w:tc>
        <w:tc>
          <w:tcPr>
            <w:tcW w:w="945" w:type="pct"/>
            <w:tcMar>
              <w:top w:w="14" w:type="dxa"/>
              <w:left w:w="14" w:type="dxa"/>
              <w:bottom w:w="0" w:type="dxa"/>
              <w:right w:w="14" w:type="dxa"/>
            </w:tcMar>
            <w:vAlign w:val="center"/>
          </w:tcPr>
          <w:p>
            <w:pPr>
              <w:pStyle w:val="53"/>
            </w:pPr>
            <w:r>
              <w:t>施工场地</w:t>
            </w:r>
          </w:p>
        </w:tc>
        <w:tc>
          <w:tcPr>
            <w:tcW w:w="959" w:type="pct"/>
            <w:tcMar>
              <w:top w:w="14" w:type="dxa"/>
              <w:left w:w="14" w:type="dxa"/>
              <w:bottom w:w="0" w:type="dxa"/>
              <w:right w:w="14" w:type="dxa"/>
            </w:tcMar>
            <w:vAlign w:val="center"/>
          </w:tcPr>
          <w:p>
            <w:pPr>
              <w:pStyle w:val="53"/>
            </w:pPr>
            <w:r>
              <w:t>（0.37）</w:t>
            </w:r>
          </w:p>
        </w:tc>
        <w:tc>
          <w:tcPr>
            <w:tcW w:w="731" w:type="pct"/>
            <w:vAlign w:val="center"/>
          </w:tcPr>
          <w:p>
            <w:pPr>
              <w:pStyle w:val="53"/>
            </w:pPr>
            <w:r>
              <w:t>/</w:t>
            </w:r>
          </w:p>
        </w:tc>
        <w:tc>
          <w:tcPr>
            <w:tcW w:w="563" w:type="pct"/>
            <w:vAlign w:val="center"/>
          </w:tcPr>
          <w:p>
            <w:pPr>
              <w:pStyle w:val="53"/>
            </w:pPr>
            <w:r>
              <w:t>（0.37）</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施工便道</w:t>
            </w:r>
          </w:p>
        </w:tc>
        <w:tc>
          <w:tcPr>
            <w:tcW w:w="959" w:type="pct"/>
            <w:tcMar>
              <w:top w:w="14" w:type="dxa"/>
              <w:left w:w="14" w:type="dxa"/>
              <w:bottom w:w="0" w:type="dxa"/>
              <w:right w:w="14" w:type="dxa"/>
            </w:tcMar>
            <w:vAlign w:val="center"/>
          </w:tcPr>
          <w:p>
            <w:pPr>
              <w:pStyle w:val="53"/>
            </w:pPr>
            <w:r>
              <w:t>（0.76）</w:t>
            </w:r>
          </w:p>
        </w:tc>
        <w:tc>
          <w:tcPr>
            <w:tcW w:w="731" w:type="pct"/>
            <w:vAlign w:val="center"/>
          </w:tcPr>
          <w:p>
            <w:pPr>
              <w:pStyle w:val="53"/>
            </w:pPr>
            <w:r>
              <w:t>/</w:t>
            </w:r>
          </w:p>
        </w:tc>
        <w:tc>
          <w:tcPr>
            <w:tcW w:w="563" w:type="pct"/>
            <w:vAlign w:val="center"/>
          </w:tcPr>
          <w:p>
            <w:pPr>
              <w:pStyle w:val="53"/>
            </w:pPr>
            <w:r>
              <w:t>（0.76）</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345" w:type="pct"/>
            <w:vMerge w:val="continue"/>
            <w:vAlign w:val="center"/>
          </w:tcPr>
          <w:p>
            <w:pPr>
              <w:pStyle w:val="53"/>
            </w:pPr>
          </w:p>
        </w:tc>
        <w:tc>
          <w:tcPr>
            <w:tcW w:w="945" w:type="pct"/>
            <w:tcMar>
              <w:top w:w="14" w:type="dxa"/>
              <w:left w:w="14" w:type="dxa"/>
              <w:bottom w:w="0" w:type="dxa"/>
              <w:right w:w="14" w:type="dxa"/>
            </w:tcMar>
            <w:vAlign w:val="center"/>
          </w:tcPr>
          <w:p>
            <w:pPr>
              <w:pStyle w:val="53"/>
            </w:pPr>
            <w:r>
              <w:t>临时堆土场</w:t>
            </w:r>
          </w:p>
        </w:tc>
        <w:tc>
          <w:tcPr>
            <w:tcW w:w="959" w:type="pct"/>
            <w:tcMar>
              <w:top w:w="14" w:type="dxa"/>
              <w:left w:w="14" w:type="dxa"/>
              <w:bottom w:w="0" w:type="dxa"/>
              <w:right w:w="14" w:type="dxa"/>
            </w:tcMar>
            <w:vAlign w:val="center"/>
          </w:tcPr>
          <w:p>
            <w:pPr>
              <w:pStyle w:val="53"/>
            </w:pPr>
            <w:r>
              <w:t>（1.66）</w:t>
            </w:r>
          </w:p>
        </w:tc>
        <w:tc>
          <w:tcPr>
            <w:tcW w:w="731" w:type="pct"/>
            <w:vAlign w:val="center"/>
          </w:tcPr>
          <w:p>
            <w:pPr>
              <w:pStyle w:val="53"/>
            </w:pPr>
            <w:r>
              <w:t>/</w:t>
            </w:r>
          </w:p>
        </w:tc>
        <w:tc>
          <w:tcPr>
            <w:tcW w:w="563" w:type="pct"/>
            <w:vAlign w:val="center"/>
          </w:tcPr>
          <w:p>
            <w:pPr>
              <w:pStyle w:val="53"/>
            </w:pPr>
            <w:r>
              <w:t>（1.66）</w:t>
            </w:r>
          </w:p>
        </w:tc>
        <w:tc>
          <w:tcPr>
            <w:tcW w:w="1112" w:type="pct"/>
            <w:tcMar>
              <w:top w:w="14" w:type="dxa"/>
              <w:left w:w="14" w:type="dxa"/>
              <w:bottom w:w="0" w:type="dxa"/>
              <w:right w:w="14" w:type="dxa"/>
            </w:tcMar>
            <w:vAlign w:val="center"/>
          </w:tcPr>
          <w:p>
            <w:pPr>
              <w:pStyle w:val="53"/>
            </w:pPr>
            <w:r>
              <w:t>永久占地范围内</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45" w:type="pct"/>
            <w:vMerge w:val="continue"/>
            <w:vAlign w:val="center"/>
          </w:tcPr>
          <w:p>
            <w:pPr>
              <w:pStyle w:val="53"/>
            </w:pPr>
          </w:p>
        </w:tc>
        <w:tc>
          <w:tcPr>
            <w:tcW w:w="1290" w:type="pct"/>
            <w:gridSpan w:val="2"/>
            <w:tcMar>
              <w:top w:w="14" w:type="dxa"/>
              <w:left w:w="14" w:type="dxa"/>
              <w:bottom w:w="0" w:type="dxa"/>
              <w:right w:w="14" w:type="dxa"/>
            </w:tcMar>
            <w:vAlign w:val="center"/>
          </w:tcPr>
          <w:p>
            <w:pPr>
              <w:pStyle w:val="53"/>
            </w:pPr>
            <w:r>
              <w:t>小计</w:t>
            </w:r>
          </w:p>
        </w:tc>
        <w:tc>
          <w:tcPr>
            <w:tcW w:w="959" w:type="pct"/>
            <w:tcMar>
              <w:top w:w="14" w:type="dxa"/>
              <w:left w:w="14" w:type="dxa"/>
              <w:bottom w:w="0" w:type="dxa"/>
              <w:right w:w="14" w:type="dxa"/>
            </w:tcMar>
            <w:vAlign w:val="center"/>
          </w:tcPr>
          <w:p>
            <w:pPr>
              <w:pStyle w:val="53"/>
            </w:pPr>
            <w:r>
              <w:t>18.60</w:t>
            </w:r>
          </w:p>
        </w:tc>
        <w:tc>
          <w:tcPr>
            <w:tcW w:w="731" w:type="pct"/>
            <w:tcMar>
              <w:top w:w="14" w:type="dxa"/>
              <w:left w:w="14" w:type="dxa"/>
              <w:bottom w:w="0" w:type="dxa"/>
              <w:right w:w="14" w:type="dxa"/>
            </w:tcMar>
            <w:vAlign w:val="center"/>
          </w:tcPr>
          <w:p>
            <w:pPr>
              <w:pStyle w:val="53"/>
            </w:pPr>
            <w:r>
              <w:t>1.31</w:t>
            </w:r>
          </w:p>
        </w:tc>
        <w:tc>
          <w:tcPr>
            <w:tcW w:w="563" w:type="pct"/>
            <w:tcMar>
              <w:top w:w="14" w:type="dxa"/>
              <w:left w:w="14" w:type="dxa"/>
              <w:bottom w:w="0" w:type="dxa"/>
              <w:right w:w="14" w:type="dxa"/>
            </w:tcMar>
            <w:vAlign w:val="center"/>
          </w:tcPr>
          <w:p>
            <w:pPr>
              <w:pStyle w:val="53"/>
            </w:pPr>
            <w:r>
              <w:t>19.91</w:t>
            </w:r>
          </w:p>
        </w:tc>
        <w:tc>
          <w:tcPr>
            <w:tcW w:w="1112" w:type="pct"/>
            <w:tcMar>
              <w:top w:w="14" w:type="dxa"/>
              <w:left w:w="14" w:type="dxa"/>
              <w:bottom w:w="0" w:type="dxa"/>
              <w:right w:w="14" w:type="dxa"/>
            </w:tcMar>
            <w:vAlign w:val="center"/>
          </w:tcPr>
          <w:p>
            <w:pPr>
              <w:pStyle w:val="53"/>
            </w:pPr>
          </w:p>
        </w:tc>
      </w:tr>
    </w:tbl>
    <w:p>
      <w:pPr>
        <w:pStyle w:val="2"/>
        <w:snapToGrid w:val="0"/>
        <w:ind w:left="0" w:firstLine="482"/>
        <w:jc w:val="center"/>
        <w:rPr>
          <w:rFonts w:eastAsia="仿宋_GB2312"/>
          <w:b/>
          <w:bCs/>
          <w:szCs w:val="32"/>
        </w:rPr>
      </w:pPr>
    </w:p>
    <w:p>
      <w:pPr>
        <w:pStyle w:val="2"/>
        <w:snapToGrid w:val="0"/>
        <w:ind w:left="0" w:firstLine="482"/>
        <w:jc w:val="center"/>
        <w:rPr>
          <w:rFonts w:eastAsia="仿宋_GB2312"/>
          <w:b/>
          <w:bCs/>
          <w:szCs w:val="32"/>
        </w:rPr>
      </w:pPr>
    </w:p>
    <w:p>
      <w:pPr>
        <w:pStyle w:val="2"/>
        <w:snapToGrid w:val="0"/>
        <w:ind w:left="0" w:firstLine="482"/>
        <w:jc w:val="center"/>
        <w:rPr>
          <w:rFonts w:eastAsia="仿宋_GB2312"/>
          <w:b/>
          <w:bCs/>
          <w:szCs w:val="32"/>
        </w:rPr>
      </w:pPr>
    </w:p>
    <w:p>
      <w:pPr>
        <w:pStyle w:val="2"/>
        <w:snapToGrid w:val="0"/>
        <w:ind w:left="0" w:firstLine="482"/>
        <w:jc w:val="center"/>
        <w:rPr>
          <w:rFonts w:eastAsia="仿宋_GB2312"/>
          <w:b/>
          <w:bCs/>
          <w:szCs w:val="32"/>
        </w:rPr>
      </w:pPr>
    </w:p>
    <w:p>
      <w:pPr>
        <w:pStyle w:val="2"/>
        <w:snapToGrid w:val="0"/>
        <w:ind w:left="0" w:firstLine="482"/>
        <w:jc w:val="center"/>
        <w:rPr>
          <w:rFonts w:eastAsia="仿宋_GB2312"/>
          <w:b/>
          <w:bCs/>
          <w:szCs w:val="32"/>
        </w:rPr>
      </w:pPr>
    </w:p>
    <w:p>
      <w:pPr>
        <w:pStyle w:val="2"/>
        <w:snapToGrid w:val="0"/>
        <w:ind w:left="0" w:firstLine="482"/>
        <w:jc w:val="center"/>
        <w:rPr>
          <w:rFonts w:eastAsia="仿宋_GB2312"/>
          <w:b/>
          <w:bCs/>
          <w:szCs w:val="32"/>
        </w:rPr>
      </w:pPr>
    </w:p>
    <w:p>
      <w:pPr>
        <w:pStyle w:val="2"/>
        <w:snapToGrid w:val="0"/>
        <w:ind w:left="0" w:firstLine="482"/>
        <w:jc w:val="center"/>
        <w:rPr>
          <w:rFonts w:eastAsia="仿宋_GB2312"/>
          <w:b/>
          <w:bCs/>
          <w:szCs w:val="32"/>
        </w:rPr>
      </w:pPr>
      <w:r>
        <w:rPr>
          <w:rFonts w:hint="eastAsia" w:eastAsia="仿宋_GB2312"/>
          <w:b/>
          <w:bCs/>
          <w:szCs w:val="32"/>
        </w:rPr>
        <w:t>表2-2工程水土流失防治分区表</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809"/>
        <w:gridCol w:w="1809"/>
        <w:gridCol w:w="1008"/>
        <w:gridCol w:w="926"/>
        <w:gridCol w:w="320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65" w:type="pct"/>
            <w:gridSpan w:val="2"/>
            <w:vAlign w:val="center"/>
          </w:tcPr>
          <w:p>
            <w:pPr>
              <w:pStyle w:val="53"/>
            </w:pPr>
            <w:r>
              <w:t>防治分区</w:t>
            </w:r>
          </w:p>
        </w:tc>
        <w:tc>
          <w:tcPr>
            <w:tcW w:w="576" w:type="pct"/>
            <w:tcMar>
              <w:top w:w="14" w:type="dxa"/>
              <w:left w:w="14" w:type="dxa"/>
              <w:bottom w:w="0" w:type="dxa"/>
              <w:right w:w="14" w:type="dxa"/>
            </w:tcMar>
            <w:vAlign w:val="center"/>
          </w:tcPr>
          <w:p>
            <w:pPr>
              <w:pStyle w:val="53"/>
            </w:pPr>
            <w:r>
              <w:t>面积/hm</w:t>
            </w:r>
            <w:r>
              <w:rPr>
                <w:rFonts w:hint="eastAsia"/>
                <w:sz w:val="24"/>
                <w:vertAlign w:val="superscript"/>
              </w:rPr>
              <w:t>2</w:t>
            </w:r>
          </w:p>
        </w:tc>
        <w:tc>
          <w:tcPr>
            <w:tcW w:w="529" w:type="pct"/>
            <w:tcMar>
              <w:top w:w="14" w:type="dxa"/>
              <w:left w:w="14" w:type="dxa"/>
              <w:bottom w:w="0" w:type="dxa"/>
              <w:right w:w="14" w:type="dxa"/>
            </w:tcMar>
            <w:vAlign w:val="center"/>
          </w:tcPr>
          <w:p>
            <w:pPr>
              <w:pStyle w:val="53"/>
            </w:pPr>
            <w:r>
              <w:t>占地性质</w:t>
            </w:r>
          </w:p>
        </w:tc>
        <w:tc>
          <w:tcPr>
            <w:tcW w:w="1829" w:type="pct"/>
            <w:tcMar>
              <w:top w:w="14" w:type="dxa"/>
              <w:left w:w="14" w:type="dxa"/>
              <w:bottom w:w="0" w:type="dxa"/>
              <w:right w:w="14" w:type="dxa"/>
            </w:tcMar>
            <w:vAlign w:val="center"/>
          </w:tcPr>
          <w:p>
            <w:pPr>
              <w:pStyle w:val="53"/>
            </w:pPr>
            <w: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1033" w:type="pct"/>
            <w:vMerge w:val="restart"/>
            <w:vAlign w:val="center"/>
          </w:tcPr>
          <w:p>
            <w:pPr>
              <w:pStyle w:val="53"/>
            </w:pPr>
            <w:r>
              <w:t>东区地块</w:t>
            </w:r>
          </w:p>
        </w:tc>
        <w:tc>
          <w:tcPr>
            <w:tcW w:w="1033" w:type="pct"/>
            <w:tcMar>
              <w:top w:w="14" w:type="dxa"/>
              <w:left w:w="14" w:type="dxa"/>
              <w:bottom w:w="0" w:type="dxa"/>
              <w:right w:w="14" w:type="dxa"/>
            </w:tcMar>
            <w:vAlign w:val="center"/>
          </w:tcPr>
          <w:p>
            <w:pPr>
              <w:pStyle w:val="53"/>
            </w:pPr>
            <w:r>
              <w:t>建筑区</w:t>
            </w:r>
          </w:p>
        </w:tc>
        <w:tc>
          <w:tcPr>
            <w:tcW w:w="576" w:type="pct"/>
            <w:tcMar>
              <w:top w:w="14" w:type="dxa"/>
              <w:left w:w="14" w:type="dxa"/>
              <w:bottom w:w="0" w:type="dxa"/>
              <w:right w:w="14" w:type="dxa"/>
            </w:tcMar>
            <w:vAlign w:val="center"/>
          </w:tcPr>
          <w:p>
            <w:pPr>
              <w:pStyle w:val="53"/>
            </w:pPr>
            <w:r>
              <w:t>3.14</w:t>
            </w:r>
          </w:p>
        </w:tc>
        <w:tc>
          <w:tcPr>
            <w:tcW w:w="529" w:type="pct"/>
            <w:vMerge w:val="restart"/>
            <w:tcMar>
              <w:top w:w="14" w:type="dxa"/>
              <w:left w:w="14" w:type="dxa"/>
              <w:bottom w:w="0" w:type="dxa"/>
              <w:right w:w="14" w:type="dxa"/>
            </w:tcMar>
            <w:vAlign w:val="center"/>
          </w:tcPr>
          <w:p>
            <w:pPr>
              <w:pStyle w:val="53"/>
            </w:pPr>
            <w:r>
              <w:t>永久占地</w:t>
            </w:r>
          </w:p>
        </w:tc>
        <w:tc>
          <w:tcPr>
            <w:tcW w:w="1829" w:type="pct"/>
            <w:tcMar>
              <w:top w:w="14" w:type="dxa"/>
              <w:left w:w="14" w:type="dxa"/>
              <w:bottom w:w="0" w:type="dxa"/>
              <w:right w:w="14" w:type="dxa"/>
            </w:tcMar>
            <w:vAlign w:val="center"/>
          </w:tcPr>
          <w:p>
            <w:pPr>
              <w:pStyle w:val="53"/>
            </w:pPr>
            <w:r>
              <w:t>住宅楼、商业楼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道路及硬化场地区</w:t>
            </w:r>
          </w:p>
        </w:tc>
        <w:tc>
          <w:tcPr>
            <w:tcW w:w="576" w:type="pct"/>
            <w:tcMar>
              <w:top w:w="14" w:type="dxa"/>
              <w:left w:w="14" w:type="dxa"/>
              <w:bottom w:w="0" w:type="dxa"/>
              <w:right w:w="14" w:type="dxa"/>
            </w:tcMar>
            <w:vAlign w:val="center"/>
          </w:tcPr>
          <w:p>
            <w:pPr>
              <w:pStyle w:val="53"/>
            </w:pPr>
            <w:r>
              <w:t>5.76</w:t>
            </w:r>
          </w:p>
        </w:tc>
        <w:tc>
          <w:tcPr>
            <w:tcW w:w="529" w:type="pct"/>
            <w:vMerge w:val="continue"/>
            <w:vAlign w:val="center"/>
          </w:tcPr>
          <w:p>
            <w:pPr>
              <w:pStyle w:val="53"/>
            </w:pPr>
          </w:p>
        </w:tc>
        <w:tc>
          <w:tcPr>
            <w:tcW w:w="1829" w:type="pct"/>
            <w:tcMar>
              <w:top w:w="14" w:type="dxa"/>
              <w:left w:w="14" w:type="dxa"/>
              <w:bottom w:w="0" w:type="dxa"/>
              <w:right w:w="14" w:type="dxa"/>
            </w:tcMar>
            <w:vAlign w:val="center"/>
          </w:tcPr>
          <w:p>
            <w:pPr>
              <w:pStyle w:val="53"/>
            </w:pPr>
            <w:r>
              <w:t>道路、广场、停车场等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86"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绿化区</w:t>
            </w:r>
          </w:p>
        </w:tc>
        <w:tc>
          <w:tcPr>
            <w:tcW w:w="576" w:type="pct"/>
            <w:tcMar>
              <w:top w:w="14" w:type="dxa"/>
              <w:left w:w="14" w:type="dxa"/>
              <w:bottom w:w="0" w:type="dxa"/>
              <w:right w:w="14" w:type="dxa"/>
            </w:tcMar>
            <w:vAlign w:val="center"/>
          </w:tcPr>
          <w:p>
            <w:pPr>
              <w:pStyle w:val="53"/>
            </w:pPr>
            <w:r>
              <w:t>4.86</w:t>
            </w:r>
          </w:p>
        </w:tc>
        <w:tc>
          <w:tcPr>
            <w:tcW w:w="529" w:type="pct"/>
            <w:vMerge w:val="continue"/>
            <w:vAlign w:val="center"/>
          </w:tcPr>
          <w:p>
            <w:pPr>
              <w:pStyle w:val="53"/>
            </w:pPr>
          </w:p>
        </w:tc>
        <w:tc>
          <w:tcPr>
            <w:tcW w:w="1829" w:type="pct"/>
            <w:tcMar>
              <w:top w:w="14" w:type="dxa"/>
              <w:left w:w="14" w:type="dxa"/>
              <w:bottom w:w="0" w:type="dxa"/>
              <w:right w:w="14" w:type="dxa"/>
            </w:tcMar>
            <w:vAlign w:val="center"/>
          </w:tcPr>
          <w:p>
            <w:pPr>
              <w:pStyle w:val="53"/>
            </w:pPr>
            <w:r>
              <w:t>包括乔灌木和草坪等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施工场地</w:t>
            </w:r>
          </w:p>
        </w:tc>
        <w:tc>
          <w:tcPr>
            <w:tcW w:w="576" w:type="pct"/>
            <w:tcMar>
              <w:top w:w="14" w:type="dxa"/>
              <w:left w:w="14" w:type="dxa"/>
              <w:bottom w:w="0" w:type="dxa"/>
              <w:right w:w="14" w:type="dxa"/>
            </w:tcMar>
            <w:vAlign w:val="center"/>
          </w:tcPr>
          <w:p>
            <w:pPr>
              <w:pStyle w:val="53"/>
            </w:pPr>
            <w:r>
              <w:t>（0.25）</w:t>
            </w:r>
          </w:p>
        </w:tc>
        <w:tc>
          <w:tcPr>
            <w:tcW w:w="529" w:type="pct"/>
            <w:vMerge w:val="continue"/>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r>
              <w:t>占用主体工程区，重叠部分不重复计算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施工便道</w:t>
            </w:r>
          </w:p>
        </w:tc>
        <w:tc>
          <w:tcPr>
            <w:tcW w:w="576" w:type="pct"/>
            <w:tcMar>
              <w:top w:w="14" w:type="dxa"/>
              <w:left w:w="14" w:type="dxa"/>
              <w:bottom w:w="0" w:type="dxa"/>
              <w:right w:w="14" w:type="dxa"/>
            </w:tcMar>
            <w:vAlign w:val="center"/>
          </w:tcPr>
          <w:p>
            <w:pPr>
              <w:pStyle w:val="53"/>
            </w:pPr>
            <w:r>
              <w:t>（0.46）</w:t>
            </w:r>
          </w:p>
        </w:tc>
        <w:tc>
          <w:tcPr>
            <w:tcW w:w="529" w:type="pct"/>
            <w:vMerge w:val="continue"/>
            <w:vAlign w:val="center"/>
          </w:tcPr>
          <w:p>
            <w:pPr>
              <w:pStyle w:val="53"/>
            </w:pPr>
          </w:p>
        </w:tc>
        <w:tc>
          <w:tcPr>
            <w:tcW w:w="1829" w:type="pct"/>
            <w:vAlign w:val="center"/>
          </w:tcPr>
          <w:p>
            <w:pPr>
              <w:pStyle w:val="53"/>
            </w:pPr>
            <w:r>
              <w:t>占用主体工程区，重叠部分不重复计算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临时堆土场</w:t>
            </w:r>
          </w:p>
        </w:tc>
        <w:tc>
          <w:tcPr>
            <w:tcW w:w="576" w:type="pct"/>
            <w:tcMar>
              <w:top w:w="14" w:type="dxa"/>
              <w:left w:w="14" w:type="dxa"/>
              <w:bottom w:w="0" w:type="dxa"/>
              <w:right w:w="14" w:type="dxa"/>
            </w:tcMar>
            <w:vAlign w:val="center"/>
          </w:tcPr>
          <w:p>
            <w:pPr>
              <w:pStyle w:val="53"/>
            </w:pPr>
            <w:r>
              <w:t>（1.10）</w:t>
            </w:r>
          </w:p>
        </w:tc>
        <w:tc>
          <w:tcPr>
            <w:tcW w:w="529" w:type="pct"/>
            <w:vMerge w:val="continue"/>
            <w:vAlign w:val="center"/>
          </w:tcPr>
          <w:p>
            <w:pPr>
              <w:pStyle w:val="53"/>
            </w:pPr>
          </w:p>
        </w:tc>
        <w:tc>
          <w:tcPr>
            <w:tcW w:w="1829" w:type="pct"/>
            <w:tcMar>
              <w:top w:w="14" w:type="dxa"/>
              <w:left w:w="14" w:type="dxa"/>
              <w:bottom w:w="0" w:type="dxa"/>
              <w:right w:w="14" w:type="dxa"/>
            </w:tcMar>
            <w:vAlign w:val="center"/>
          </w:tcPr>
          <w:p>
            <w:pPr>
              <w:pStyle w:val="53"/>
            </w:pPr>
            <w:r>
              <w:t>占用主体工程区，重叠部分不重复计算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合计</w:t>
            </w:r>
          </w:p>
        </w:tc>
        <w:tc>
          <w:tcPr>
            <w:tcW w:w="576" w:type="pct"/>
            <w:tcMar>
              <w:top w:w="14" w:type="dxa"/>
              <w:left w:w="14" w:type="dxa"/>
              <w:bottom w:w="0" w:type="dxa"/>
              <w:right w:w="14" w:type="dxa"/>
            </w:tcMar>
            <w:vAlign w:val="center"/>
          </w:tcPr>
          <w:p>
            <w:pPr>
              <w:pStyle w:val="53"/>
            </w:pPr>
            <w:r>
              <w:t>13.76</w:t>
            </w:r>
          </w:p>
        </w:tc>
        <w:tc>
          <w:tcPr>
            <w:tcW w:w="529" w:type="pct"/>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restart"/>
            <w:vAlign w:val="center"/>
          </w:tcPr>
          <w:p>
            <w:pPr>
              <w:pStyle w:val="53"/>
            </w:pPr>
            <w:r>
              <w:t>西区地块</w:t>
            </w:r>
          </w:p>
        </w:tc>
        <w:tc>
          <w:tcPr>
            <w:tcW w:w="1033" w:type="pct"/>
            <w:tcMar>
              <w:top w:w="14" w:type="dxa"/>
              <w:left w:w="14" w:type="dxa"/>
              <w:bottom w:w="0" w:type="dxa"/>
              <w:right w:w="14" w:type="dxa"/>
            </w:tcMar>
            <w:vAlign w:val="center"/>
          </w:tcPr>
          <w:p>
            <w:pPr>
              <w:pStyle w:val="53"/>
            </w:pPr>
            <w:r>
              <w:t>建筑区</w:t>
            </w:r>
          </w:p>
        </w:tc>
        <w:tc>
          <w:tcPr>
            <w:tcW w:w="576" w:type="pct"/>
            <w:tcMar>
              <w:top w:w="14" w:type="dxa"/>
              <w:left w:w="14" w:type="dxa"/>
              <w:bottom w:w="0" w:type="dxa"/>
              <w:right w:w="14" w:type="dxa"/>
            </w:tcMar>
            <w:vAlign w:val="center"/>
          </w:tcPr>
          <w:p>
            <w:pPr>
              <w:pStyle w:val="53"/>
            </w:pPr>
            <w:r>
              <w:t>0.95</w:t>
            </w:r>
          </w:p>
        </w:tc>
        <w:tc>
          <w:tcPr>
            <w:tcW w:w="529" w:type="pct"/>
            <w:tcMar>
              <w:top w:w="14" w:type="dxa"/>
              <w:left w:w="14" w:type="dxa"/>
              <w:bottom w:w="0" w:type="dxa"/>
              <w:right w:w="14" w:type="dxa"/>
            </w:tcMar>
            <w:vAlign w:val="center"/>
          </w:tcPr>
          <w:p>
            <w:pPr>
              <w:pStyle w:val="53"/>
            </w:pPr>
            <w:r>
              <w:t>永久占地</w:t>
            </w:r>
          </w:p>
        </w:tc>
        <w:tc>
          <w:tcPr>
            <w:tcW w:w="1829" w:type="pct"/>
            <w:tcMar>
              <w:top w:w="14" w:type="dxa"/>
              <w:left w:w="14" w:type="dxa"/>
              <w:bottom w:w="0" w:type="dxa"/>
              <w:right w:w="14" w:type="dxa"/>
            </w:tcMar>
            <w:vAlign w:val="center"/>
          </w:tcPr>
          <w:p>
            <w:pPr>
              <w:pStyle w:val="53"/>
            </w:pPr>
            <w:r>
              <w:t>住宅楼、商业楼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道路及硬化场地区</w:t>
            </w:r>
          </w:p>
        </w:tc>
        <w:tc>
          <w:tcPr>
            <w:tcW w:w="576" w:type="pct"/>
            <w:tcMar>
              <w:top w:w="14" w:type="dxa"/>
              <w:left w:w="14" w:type="dxa"/>
              <w:bottom w:w="0" w:type="dxa"/>
              <w:right w:w="14" w:type="dxa"/>
            </w:tcMar>
            <w:vAlign w:val="center"/>
          </w:tcPr>
          <w:p>
            <w:pPr>
              <w:pStyle w:val="53"/>
            </w:pPr>
            <w:r>
              <w:t>2.17</w:t>
            </w:r>
          </w:p>
        </w:tc>
        <w:tc>
          <w:tcPr>
            <w:tcW w:w="529" w:type="pct"/>
            <w:vMerge w:val="restart"/>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r>
              <w:t>道路、广场、停车场等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绿化区</w:t>
            </w:r>
          </w:p>
        </w:tc>
        <w:tc>
          <w:tcPr>
            <w:tcW w:w="576" w:type="pct"/>
            <w:tcMar>
              <w:top w:w="14" w:type="dxa"/>
              <w:left w:w="14" w:type="dxa"/>
              <w:bottom w:w="0" w:type="dxa"/>
              <w:right w:w="14" w:type="dxa"/>
            </w:tcMar>
            <w:vAlign w:val="center"/>
          </w:tcPr>
          <w:p>
            <w:pPr>
              <w:pStyle w:val="53"/>
            </w:pPr>
            <w:r>
              <w:t>1.72</w:t>
            </w:r>
          </w:p>
        </w:tc>
        <w:tc>
          <w:tcPr>
            <w:tcW w:w="529" w:type="pct"/>
            <w:vMerge w:val="continue"/>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r>
              <w:t>包括乔灌木和草坪等</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施工场地</w:t>
            </w:r>
          </w:p>
        </w:tc>
        <w:tc>
          <w:tcPr>
            <w:tcW w:w="576" w:type="pct"/>
            <w:tcMar>
              <w:top w:w="14" w:type="dxa"/>
              <w:left w:w="14" w:type="dxa"/>
              <w:bottom w:w="0" w:type="dxa"/>
              <w:right w:w="14" w:type="dxa"/>
            </w:tcMar>
            <w:vAlign w:val="center"/>
          </w:tcPr>
          <w:p>
            <w:pPr>
              <w:pStyle w:val="53"/>
            </w:pPr>
            <w:r>
              <w:t>（0.12）</w:t>
            </w:r>
          </w:p>
        </w:tc>
        <w:tc>
          <w:tcPr>
            <w:tcW w:w="529" w:type="pct"/>
            <w:vMerge w:val="continue"/>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r>
              <w:t>占用主体工程区，重叠部分不重复计算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施工便道</w:t>
            </w:r>
          </w:p>
        </w:tc>
        <w:tc>
          <w:tcPr>
            <w:tcW w:w="576" w:type="pct"/>
            <w:tcMar>
              <w:top w:w="14" w:type="dxa"/>
              <w:left w:w="14" w:type="dxa"/>
              <w:bottom w:w="0" w:type="dxa"/>
              <w:right w:w="14" w:type="dxa"/>
            </w:tcMar>
            <w:vAlign w:val="center"/>
          </w:tcPr>
          <w:p>
            <w:pPr>
              <w:pStyle w:val="53"/>
            </w:pPr>
            <w:r>
              <w:t>（0.30）</w:t>
            </w:r>
          </w:p>
        </w:tc>
        <w:tc>
          <w:tcPr>
            <w:tcW w:w="529" w:type="pct"/>
            <w:vMerge w:val="continue"/>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r>
              <w:t>占用主体工程区，重叠部分不重复计算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临时堆土场</w:t>
            </w:r>
          </w:p>
        </w:tc>
        <w:tc>
          <w:tcPr>
            <w:tcW w:w="576" w:type="pct"/>
            <w:tcMar>
              <w:top w:w="14" w:type="dxa"/>
              <w:left w:w="14" w:type="dxa"/>
              <w:bottom w:w="0" w:type="dxa"/>
              <w:right w:w="14" w:type="dxa"/>
            </w:tcMar>
            <w:vAlign w:val="center"/>
          </w:tcPr>
          <w:p>
            <w:pPr>
              <w:pStyle w:val="53"/>
            </w:pPr>
            <w:r>
              <w:t>（0.56）</w:t>
            </w:r>
          </w:p>
        </w:tc>
        <w:tc>
          <w:tcPr>
            <w:tcW w:w="529" w:type="pct"/>
            <w:vMerge w:val="continue"/>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r>
              <w:t>占用主体工程区，重叠部分不重复计算</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33" w:type="pct"/>
            <w:vMerge w:val="continue"/>
            <w:vAlign w:val="center"/>
          </w:tcPr>
          <w:p>
            <w:pPr>
              <w:pStyle w:val="53"/>
            </w:pPr>
          </w:p>
        </w:tc>
        <w:tc>
          <w:tcPr>
            <w:tcW w:w="1033" w:type="pct"/>
            <w:tcMar>
              <w:top w:w="14" w:type="dxa"/>
              <w:left w:w="14" w:type="dxa"/>
              <w:bottom w:w="0" w:type="dxa"/>
              <w:right w:w="14" w:type="dxa"/>
            </w:tcMar>
            <w:vAlign w:val="center"/>
          </w:tcPr>
          <w:p>
            <w:pPr>
              <w:pStyle w:val="53"/>
            </w:pPr>
            <w:r>
              <w:t>合计</w:t>
            </w:r>
          </w:p>
        </w:tc>
        <w:tc>
          <w:tcPr>
            <w:tcW w:w="576" w:type="pct"/>
            <w:tcMar>
              <w:top w:w="14" w:type="dxa"/>
              <w:left w:w="14" w:type="dxa"/>
              <w:bottom w:w="0" w:type="dxa"/>
              <w:right w:w="14" w:type="dxa"/>
            </w:tcMar>
            <w:vAlign w:val="center"/>
          </w:tcPr>
          <w:p>
            <w:pPr>
              <w:pStyle w:val="53"/>
            </w:pPr>
            <w:r>
              <w:t>4.84</w:t>
            </w:r>
          </w:p>
        </w:tc>
        <w:tc>
          <w:tcPr>
            <w:tcW w:w="529" w:type="pct"/>
            <w:tcMar>
              <w:top w:w="14" w:type="dxa"/>
              <w:left w:w="14" w:type="dxa"/>
              <w:bottom w:w="0" w:type="dxa"/>
              <w:right w:w="14" w:type="dxa"/>
            </w:tcMar>
            <w:vAlign w:val="center"/>
          </w:tcPr>
          <w:p>
            <w:pPr>
              <w:pStyle w:val="53"/>
            </w:pPr>
          </w:p>
        </w:tc>
        <w:tc>
          <w:tcPr>
            <w:tcW w:w="1829" w:type="pct"/>
            <w:tcMar>
              <w:top w:w="14" w:type="dxa"/>
              <w:left w:w="14" w:type="dxa"/>
              <w:bottom w:w="0" w:type="dxa"/>
              <w:right w:w="14" w:type="dxa"/>
            </w:tcMar>
            <w:vAlign w:val="center"/>
          </w:tcPr>
          <w:p>
            <w:pPr>
              <w:pStyle w:val="53"/>
            </w:pPr>
          </w:p>
        </w:tc>
      </w:tr>
    </w:tbl>
    <w:p>
      <w:pPr>
        <w:pStyle w:val="2"/>
        <w:snapToGrid w:val="0"/>
        <w:ind w:left="0" w:firstLine="480"/>
        <w:rPr>
          <w:rFonts w:ascii="Calibri" w:hAnsi="Calibri" w:eastAsia="仿宋_GB2312"/>
        </w:rPr>
      </w:pPr>
    </w:p>
    <w:p>
      <w:pPr>
        <w:pStyle w:val="4"/>
        <w:ind w:firstLine="562"/>
      </w:pPr>
      <w:bookmarkStart w:id="44" w:name="_Toc2115"/>
      <w:r>
        <w:t>2.</w:t>
      </w:r>
      <w:r>
        <w:rPr>
          <w:rFonts w:hint="eastAsia"/>
        </w:rPr>
        <w:t>4水土流失防治目标</w:t>
      </w:r>
      <w:bookmarkEnd w:id="44"/>
    </w:p>
    <w:p>
      <w:pPr>
        <w:ind w:firstLine="480"/>
      </w:pPr>
      <w:r>
        <w:rPr>
          <w:rFonts w:hint="eastAsia"/>
        </w:rPr>
        <w:t>根据《</w:t>
      </w:r>
      <w:r>
        <w:rPr>
          <w:rFonts w:hint="eastAsia"/>
          <w:lang w:val="zh-CN"/>
        </w:rPr>
        <w:t>楚天都市沁园建设项目</w:t>
      </w:r>
      <w:r>
        <w:rPr>
          <w:rFonts w:hint="eastAsia"/>
        </w:rPr>
        <w:t>水土保持方案报告书》（报批稿），</w:t>
      </w:r>
      <w:r>
        <w:t>项目水土流失防治等级执行建设类项目</w:t>
      </w:r>
      <w:r>
        <w:rPr>
          <w:rFonts w:hint="eastAsia"/>
        </w:rPr>
        <w:t>一级标准</w:t>
      </w:r>
      <w:r>
        <w:t>。</w:t>
      </w:r>
      <w:r>
        <w:rPr>
          <w:rFonts w:hint="eastAsia"/>
        </w:rPr>
        <w:t>工程六项</w:t>
      </w:r>
      <w:r>
        <w:t>水土流失防治指标方案目标值见表</w:t>
      </w:r>
      <w:r>
        <w:rPr>
          <w:rFonts w:hint="eastAsia"/>
        </w:rPr>
        <w:t>2</w:t>
      </w:r>
      <w:r>
        <w:t>-</w:t>
      </w:r>
      <w:r>
        <w:rPr>
          <w:rFonts w:hint="eastAsia"/>
        </w:rPr>
        <w:t>3。</w:t>
      </w:r>
    </w:p>
    <w:p>
      <w:pPr>
        <w:ind w:firstLine="480"/>
        <w:sectPr>
          <w:pgSz w:w="11906" w:h="16838"/>
          <w:pgMar w:top="1587" w:right="1587" w:bottom="1587" w:left="1587" w:header="567" w:footer="567" w:gutter="0"/>
          <w:cols w:space="720" w:num="1"/>
          <w:docGrid w:type="lines" w:linePitch="312" w:charSpace="0"/>
        </w:sectPr>
      </w:pPr>
    </w:p>
    <w:p>
      <w:pPr>
        <w:pStyle w:val="54"/>
        <w:spacing w:before="156" w:beforeLines="0"/>
      </w:pPr>
      <w:r>
        <w:t>表</w:t>
      </w:r>
      <w:r>
        <w:rPr>
          <w:rFonts w:hint="eastAsia"/>
        </w:rPr>
        <w:t>2</w:t>
      </w:r>
      <w:r>
        <w:t>-</w:t>
      </w:r>
      <w:r>
        <w:rPr>
          <w:rFonts w:hint="eastAsia"/>
        </w:rPr>
        <w:t>3</w:t>
      </w:r>
      <w:r>
        <w:t xml:space="preserve">  水土流失防治指标方案目标值</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172"/>
        <w:gridCol w:w="861"/>
        <w:gridCol w:w="1573"/>
        <w:gridCol w:w="718"/>
        <w:gridCol w:w="845"/>
        <w:gridCol w:w="1131"/>
        <w:gridCol w:w="729"/>
        <w:gridCol w:w="105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Align w:val="center"/>
          </w:tcPr>
          <w:p>
            <w:pPr>
              <w:pStyle w:val="53"/>
            </w:pPr>
            <w:r>
              <w:t>执行标准等级</w:t>
            </w:r>
          </w:p>
        </w:tc>
        <w:tc>
          <w:tcPr>
            <w:tcW w:w="655" w:type="pct"/>
            <w:vAlign w:val="center"/>
          </w:tcPr>
          <w:p>
            <w:pPr>
              <w:pStyle w:val="53"/>
            </w:pPr>
            <w:r>
              <w:t>行政区</w:t>
            </w:r>
          </w:p>
        </w:tc>
        <w:tc>
          <w:tcPr>
            <w:tcW w:w="481" w:type="pct"/>
            <w:vAlign w:val="center"/>
          </w:tcPr>
          <w:p>
            <w:pPr>
              <w:pStyle w:val="53"/>
            </w:pPr>
            <w:r>
              <w:t>地貌</w:t>
            </w:r>
          </w:p>
          <w:p>
            <w:pPr>
              <w:pStyle w:val="53"/>
            </w:pPr>
            <w:r>
              <w:t>类型</w:t>
            </w:r>
          </w:p>
        </w:tc>
        <w:tc>
          <w:tcPr>
            <w:tcW w:w="879" w:type="pct"/>
            <w:vAlign w:val="center"/>
          </w:tcPr>
          <w:p>
            <w:pPr>
              <w:pStyle w:val="53"/>
            </w:pPr>
            <w:r>
              <w:t>防治</w:t>
            </w:r>
          </w:p>
          <w:p>
            <w:pPr>
              <w:pStyle w:val="53"/>
            </w:pPr>
            <w:r>
              <w:t>指标</w:t>
            </w:r>
          </w:p>
        </w:tc>
        <w:tc>
          <w:tcPr>
            <w:tcW w:w="401" w:type="pct"/>
            <w:vAlign w:val="center"/>
          </w:tcPr>
          <w:p>
            <w:pPr>
              <w:pStyle w:val="53"/>
            </w:pPr>
            <w:r>
              <w:t>标准</w:t>
            </w:r>
          </w:p>
          <w:p>
            <w:pPr>
              <w:pStyle w:val="53"/>
            </w:pPr>
            <w:r>
              <w:t>规定</w:t>
            </w:r>
          </w:p>
        </w:tc>
        <w:tc>
          <w:tcPr>
            <w:tcW w:w="472" w:type="pct"/>
            <w:vAlign w:val="center"/>
          </w:tcPr>
          <w:p>
            <w:pPr>
              <w:pStyle w:val="53"/>
            </w:pPr>
            <w:r>
              <w:t>按降水量</w:t>
            </w:r>
          </w:p>
        </w:tc>
        <w:tc>
          <w:tcPr>
            <w:tcW w:w="632" w:type="pct"/>
            <w:vAlign w:val="center"/>
          </w:tcPr>
          <w:p>
            <w:pPr>
              <w:pStyle w:val="53"/>
            </w:pPr>
            <w:r>
              <w:t>按土壤侵蚀强度</w:t>
            </w:r>
          </w:p>
        </w:tc>
        <w:tc>
          <w:tcPr>
            <w:tcW w:w="407" w:type="pct"/>
            <w:vAlign w:val="center"/>
          </w:tcPr>
          <w:p>
            <w:pPr>
              <w:pStyle w:val="53"/>
            </w:pPr>
            <w:r>
              <w:t>其他因素</w:t>
            </w:r>
          </w:p>
        </w:tc>
        <w:tc>
          <w:tcPr>
            <w:tcW w:w="588" w:type="pct"/>
            <w:vAlign w:val="center"/>
          </w:tcPr>
          <w:p>
            <w:pPr>
              <w:pStyle w:val="53"/>
            </w:pPr>
            <w:r>
              <w:t>采用</w:t>
            </w:r>
          </w:p>
          <w:p>
            <w:pPr>
              <w:pStyle w:val="53"/>
            </w:pPr>
            <w:r>
              <w:t>标准</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restart"/>
            <w:vAlign w:val="center"/>
          </w:tcPr>
          <w:p>
            <w:pPr>
              <w:pStyle w:val="53"/>
            </w:pPr>
            <w:r>
              <w:t>一级</w:t>
            </w:r>
          </w:p>
          <w:p>
            <w:pPr>
              <w:pStyle w:val="53"/>
            </w:pPr>
            <w:r>
              <w:t>标准</w:t>
            </w:r>
          </w:p>
        </w:tc>
        <w:tc>
          <w:tcPr>
            <w:tcW w:w="655" w:type="pct"/>
            <w:vMerge w:val="restart"/>
            <w:vAlign w:val="center"/>
          </w:tcPr>
          <w:p>
            <w:pPr>
              <w:pStyle w:val="53"/>
            </w:pPr>
            <w:r>
              <w:t>武汉市</w:t>
            </w:r>
          </w:p>
          <w:p>
            <w:pPr>
              <w:pStyle w:val="53"/>
            </w:pPr>
            <w:r>
              <w:t>洪山区</w:t>
            </w:r>
          </w:p>
        </w:tc>
        <w:tc>
          <w:tcPr>
            <w:tcW w:w="481" w:type="pct"/>
            <w:vMerge w:val="restart"/>
            <w:vAlign w:val="center"/>
          </w:tcPr>
          <w:p>
            <w:pPr>
              <w:pStyle w:val="53"/>
            </w:pPr>
            <w:r>
              <w:t>平原区</w:t>
            </w:r>
          </w:p>
        </w:tc>
        <w:tc>
          <w:tcPr>
            <w:tcW w:w="879" w:type="pct"/>
            <w:vAlign w:val="center"/>
          </w:tcPr>
          <w:p>
            <w:pPr>
              <w:pStyle w:val="53"/>
            </w:pPr>
            <w:r>
              <w:t>扰动土地整治率（%）</w:t>
            </w:r>
          </w:p>
        </w:tc>
        <w:tc>
          <w:tcPr>
            <w:tcW w:w="401" w:type="pct"/>
            <w:vAlign w:val="center"/>
          </w:tcPr>
          <w:p>
            <w:pPr>
              <w:pStyle w:val="53"/>
            </w:pPr>
            <w:r>
              <w:t>95</w:t>
            </w:r>
          </w:p>
        </w:tc>
        <w:tc>
          <w:tcPr>
            <w:tcW w:w="472" w:type="pct"/>
            <w:vAlign w:val="center"/>
          </w:tcPr>
          <w:p>
            <w:pPr>
              <w:pStyle w:val="53"/>
            </w:pPr>
          </w:p>
        </w:tc>
        <w:tc>
          <w:tcPr>
            <w:tcW w:w="632" w:type="pct"/>
            <w:vAlign w:val="center"/>
          </w:tcPr>
          <w:p>
            <w:pPr>
              <w:pStyle w:val="53"/>
            </w:pPr>
            <w:r>
              <w:t>　</w:t>
            </w:r>
          </w:p>
        </w:tc>
        <w:tc>
          <w:tcPr>
            <w:tcW w:w="407" w:type="pct"/>
            <w:vAlign w:val="center"/>
          </w:tcPr>
          <w:p>
            <w:pPr>
              <w:pStyle w:val="53"/>
            </w:pPr>
            <w:r>
              <w:t>2　</w:t>
            </w:r>
          </w:p>
        </w:tc>
        <w:tc>
          <w:tcPr>
            <w:tcW w:w="588" w:type="pct"/>
            <w:vAlign w:val="center"/>
          </w:tcPr>
          <w:p>
            <w:pPr>
              <w:pStyle w:val="53"/>
            </w:pPr>
            <w:r>
              <w:t>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vAlign w:val="center"/>
          </w:tcPr>
          <w:p>
            <w:pPr>
              <w:pStyle w:val="53"/>
            </w:pPr>
          </w:p>
        </w:tc>
        <w:tc>
          <w:tcPr>
            <w:tcW w:w="655" w:type="pct"/>
            <w:vMerge w:val="continue"/>
            <w:vAlign w:val="center"/>
          </w:tcPr>
          <w:p>
            <w:pPr>
              <w:pStyle w:val="53"/>
            </w:pPr>
          </w:p>
        </w:tc>
        <w:tc>
          <w:tcPr>
            <w:tcW w:w="481" w:type="pct"/>
            <w:vMerge w:val="continue"/>
            <w:vAlign w:val="center"/>
          </w:tcPr>
          <w:p>
            <w:pPr>
              <w:pStyle w:val="53"/>
            </w:pPr>
          </w:p>
        </w:tc>
        <w:tc>
          <w:tcPr>
            <w:tcW w:w="879" w:type="pct"/>
            <w:vAlign w:val="center"/>
          </w:tcPr>
          <w:p>
            <w:pPr>
              <w:pStyle w:val="53"/>
            </w:pPr>
            <w:r>
              <w:t>水土流失总治理度（%）</w:t>
            </w:r>
          </w:p>
        </w:tc>
        <w:tc>
          <w:tcPr>
            <w:tcW w:w="401" w:type="pct"/>
            <w:vAlign w:val="center"/>
          </w:tcPr>
          <w:p>
            <w:pPr>
              <w:pStyle w:val="53"/>
            </w:pPr>
            <w:r>
              <w:t>95</w:t>
            </w:r>
          </w:p>
        </w:tc>
        <w:tc>
          <w:tcPr>
            <w:tcW w:w="472" w:type="pct"/>
            <w:vAlign w:val="center"/>
          </w:tcPr>
          <w:p>
            <w:pPr>
              <w:pStyle w:val="53"/>
            </w:pPr>
            <w:r>
              <w:t>2</w:t>
            </w:r>
          </w:p>
        </w:tc>
        <w:tc>
          <w:tcPr>
            <w:tcW w:w="632" w:type="pct"/>
            <w:vAlign w:val="center"/>
          </w:tcPr>
          <w:p>
            <w:pPr>
              <w:pStyle w:val="53"/>
            </w:pPr>
            <w:r>
              <w:t>　</w:t>
            </w:r>
          </w:p>
        </w:tc>
        <w:tc>
          <w:tcPr>
            <w:tcW w:w="407" w:type="pct"/>
            <w:vAlign w:val="center"/>
          </w:tcPr>
          <w:p>
            <w:pPr>
              <w:pStyle w:val="53"/>
            </w:pPr>
            <w:r>
              <w:t>　</w:t>
            </w:r>
          </w:p>
        </w:tc>
        <w:tc>
          <w:tcPr>
            <w:tcW w:w="588" w:type="pct"/>
            <w:vAlign w:val="center"/>
          </w:tcPr>
          <w:p>
            <w:pPr>
              <w:pStyle w:val="53"/>
            </w:pPr>
            <w:r>
              <w:t>97</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vAlign w:val="center"/>
          </w:tcPr>
          <w:p>
            <w:pPr>
              <w:pStyle w:val="53"/>
            </w:pPr>
          </w:p>
        </w:tc>
        <w:tc>
          <w:tcPr>
            <w:tcW w:w="655" w:type="pct"/>
            <w:vMerge w:val="continue"/>
            <w:vAlign w:val="center"/>
          </w:tcPr>
          <w:p>
            <w:pPr>
              <w:pStyle w:val="53"/>
            </w:pPr>
          </w:p>
        </w:tc>
        <w:tc>
          <w:tcPr>
            <w:tcW w:w="481" w:type="pct"/>
            <w:vMerge w:val="continue"/>
            <w:vAlign w:val="center"/>
          </w:tcPr>
          <w:p>
            <w:pPr>
              <w:pStyle w:val="53"/>
            </w:pPr>
          </w:p>
        </w:tc>
        <w:tc>
          <w:tcPr>
            <w:tcW w:w="879" w:type="pct"/>
            <w:vAlign w:val="center"/>
          </w:tcPr>
          <w:p>
            <w:pPr>
              <w:pStyle w:val="53"/>
            </w:pPr>
            <w:r>
              <w:t>土壤流失控制比</w:t>
            </w:r>
          </w:p>
        </w:tc>
        <w:tc>
          <w:tcPr>
            <w:tcW w:w="401" w:type="pct"/>
            <w:vAlign w:val="center"/>
          </w:tcPr>
          <w:p>
            <w:pPr>
              <w:pStyle w:val="53"/>
            </w:pPr>
            <w:r>
              <w:t>0.7</w:t>
            </w:r>
          </w:p>
        </w:tc>
        <w:tc>
          <w:tcPr>
            <w:tcW w:w="472" w:type="pct"/>
            <w:vAlign w:val="center"/>
          </w:tcPr>
          <w:p>
            <w:pPr>
              <w:pStyle w:val="53"/>
            </w:pPr>
            <w:r>
              <w:t>　</w:t>
            </w:r>
          </w:p>
          <w:p>
            <w:pPr>
              <w:pStyle w:val="53"/>
            </w:pPr>
            <w:r>
              <w:t>　</w:t>
            </w:r>
          </w:p>
        </w:tc>
        <w:tc>
          <w:tcPr>
            <w:tcW w:w="632" w:type="pct"/>
            <w:vAlign w:val="center"/>
          </w:tcPr>
          <w:p>
            <w:pPr>
              <w:pStyle w:val="53"/>
            </w:pPr>
            <w:r>
              <w:t>1.1</w:t>
            </w:r>
          </w:p>
        </w:tc>
        <w:tc>
          <w:tcPr>
            <w:tcW w:w="407" w:type="pct"/>
            <w:vAlign w:val="center"/>
          </w:tcPr>
          <w:p>
            <w:pPr>
              <w:pStyle w:val="53"/>
            </w:pPr>
            <w:r>
              <w:t>　</w:t>
            </w:r>
          </w:p>
          <w:p>
            <w:pPr>
              <w:pStyle w:val="53"/>
            </w:pPr>
            <w:r>
              <w:t>　</w:t>
            </w:r>
          </w:p>
        </w:tc>
        <w:tc>
          <w:tcPr>
            <w:tcW w:w="588" w:type="pct"/>
            <w:vAlign w:val="center"/>
          </w:tcPr>
          <w:p>
            <w:pPr>
              <w:pStyle w:val="53"/>
            </w:pPr>
            <w:r>
              <w:t>1.1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vAlign w:val="center"/>
          </w:tcPr>
          <w:p>
            <w:pPr>
              <w:pStyle w:val="53"/>
            </w:pPr>
          </w:p>
        </w:tc>
        <w:tc>
          <w:tcPr>
            <w:tcW w:w="655" w:type="pct"/>
            <w:vMerge w:val="continue"/>
            <w:vAlign w:val="center"/>
          </w:tcPr>
          <w:p>
            <w:pPr>
              <w:pStyle w:val="53"/>
            </w:pPr>
          </w:p>
        </w:tc>
        <w:tc>
          <w:tcPr>
            <w:tcW w:w="481" w:type="pct"/>
            <w:vMerge w:val="continue"/>
            <w:vAlign w:val="center"/>
          </w:tcPr>
          <w:p>
            <w:pPr>
              <w:pStyle w:val="53"/>
            </w:pPr>
          </w:p>
        </w:tc>
        <w:tc>
          <w:tcPr>
            <w:tcW w:w="879" w:type="pct"/>
            <w:vAlign w:val="center"/>
          </w:tcPr>
          <w:p>
            <w:pPr>
              <w:pStyle w:val="53"/>
            </w:pPr>
            <w:r>
              <w:t>拦渣率（%）</w:t>
            </w:r>
          </w:p>
        </w:tc>
        <w:tc>
          <w:tcPr>
            <w:tcW w:w="401" w:type="pct"/>
            <w:vAlign w:val="center"/>
          </w:tcPr>
          <w:p>
            <w:pPr>
              <w:pStyle w:val="53"/>
            </w:pPr>
            <w:r>
              <w:t>95</w:t>
            </w:r>
          </w:p>
        </w:tc>
        <w:tc>
          <w:tcPr>
            <w:tcW w:w="472" w:type="pct"/>
            <w:vAlign w:val="center"/>
          </w:tcPr>
          <w:p>
            <w:pPr>
              <w:pStyle w:val="53"/>
            </w:pPr>
            <w:r>
              <w:t>　</w:t>
            </w:r>
          </w:p>
          <w:p>
            <w:pPr>
              <w:pStyle w:val="53"/>
            </w:pPr>
            <w:r>
              <w:t>　</w:t>
            </w:r>
          </w:p>
        </w:tc>
        <w:tc>
          <w:tcPr>
            <w:tcW w:w="632" w:type="pct"/>
            <w:vAlign w:val="center"/>
          </w:tcPr>
          <w:p>
            <w:pPr>
              <w:pStyle w:val="53"/>
            </w:pPr>
            <w:r>
              <w:t>　</w:t>
            </w:r>
          </w:p>
          <w:p>
            <w:pPr>
              <w:pStyle w:val="53"/>
            </w:pPr>
            <w:r>
              <w:t>　</w:t>
            </w:r>
          </w:p>
        </w:tc>
        <w:tc>
          <w:tcPr>
            <w:tcW w:w="407" w:type="pct"/>
            <w:vAlign w:val="center"/>
          </w:tcPr>
          <w:p>
            <w:pPr>
              <w:pStyle w:val="53"/>
            </w:pPr>
          </w:p>
        </w:tc>
        <w:tc>
          <w:tcPr>
            <w:tcW w:w="588" w:type="pct"/>
            <w:vAlign w:val="center"/>
          </w:tcPr>
          <w:p>
            <w:pPr>
              <w:pStyle w:val="53"/>
            </w:pPr>
            <w:r>
              <w:t>95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vAlign w:val="center"/>
          </w:tcPr>
          <w:p>
            <w:pPr>
              <w:pStyle w:val="53"/>
            </w:pPr>
          </w:p>
        </w:tc>
        <w:tc>
          <w:tcPr>
            <w:tcW w:w="655" w:type="pct"/>
            <w:vMerge w:val="continue"/>
            <w:vAlign w:val="center"/>
          </w:tcPr>
          <w:p>
            <w:pPr>
              <w:pStyle w:val="53"/>
            </w:pPr>
          </w:p>
        </w:tc>
        <w:tc>
          <w:tcPr>
            <w:tcW w:w="481" w:type="pct"/>
            <w:vMerge w:val="continue"/>
            <w:vAlign w:val="center"/>
          </w:tcPr>
          <w:p>
            <w:pPr>
              <w:pStyle w:val="53"/>
            </w:pPr>
          </w:p>
        </w:tc>
        <w:tc>
          <w:tcPr>
            <w:tcW w:w="879" w:type="pct"/>
            <w:vAlign w:val="center"/>
          </w:tcPr>
          <w:p>
            <w:pPr>
              <w:pStyle w:val="53"/>
            </w:pPr>
            <w:r>
              <w:t>林草植被恢复率（%）</w:t>
            </w:r>
          </w:p>
        </w:tc>
        <w:tc>
          <w:tcPr>
            <w:tcW w:w="401" w:type="pct"/>
            <w:vAlign w:val="center"/>
          </w:tcPr>
          <w:p>
            <w:pPr>
              <w:pStyle w:val="53"/>
            </w:pPr>
            <w:r>
              <w:t>97</w:t>
            </w:r>
          </w:p>
        </w:tc>
        <w:tc>
          <w:tcPr>
            <w:tcW w:w="472" w:type="pct"/>
            <w:vAlign w:val="center"/>
          </w:tcPr>
          <w:p>
            <w:pPr>
              <w:pStyle w:val="53"/>
            </w:pPr>
            <w:r>
              <w:t>2</w:t>
            </w:r>
          </w:p>
        </w:tc>
        <w:tc>
          <w:tcPr>
            <w:tcW w:w="632" w:type="pct"/>
            <w:vAlign w:val="center"/>
          </w:tcPr>
          <w:p>
            <w:pPr>
              <w:pStyle w:val="53"/>
            </w:pPr>
            <w:r>
              <w:t>　</w:t>
            </w:r>
          </w:p>
        </w:tc>
        <w:tc>
          <w:tcPr>
            <w:tcW w:w="407" w:type="pct"/>
            <w:vAlign w:val="center"/>
          </w:tcPr>
          <w:p>
            <w:pPr>
              <w:pStyle w:val="53"/>
            </w:pPr>
            <w:r>
              <w:t>　</w:t>
            </w:r>
          </w:p>
        </w:tc>
        <w:tc>
          <w:tcPr>
            <w:tcW w:w="588" w:type="pct"/>
            <w:vAlign w:val="center"/>
          </w:tcPr>
          <w:p>
            <w:pPr>
              <w:pStyle w:val="53"/>
            </w:pPr>
            <w:r>
              <w:t>99</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4" w:type="pct"/>
            <w:vMerge w:val="continue"/>
            <w:vAlign w:val="center"/>
          </w:tcPr>
          <w:p>
            <w:pPr>
              <w:pStyle w:val="53"/>
            </w:pPr>
          </w:p>
        </w:tc>
        <w:tc>
          <w:tcPr>
            <w:tcW w:w="655" w:type="pct"/>
            <w:vMerge w:val="continue"/>
            <w:vAlign w:val="center"/>
          </w:tcPr>
          <w:p>
            <w:pPr>
              <w:pStyle w:val="53"/>
            </w:pPr>
          </w:p>
        </w:tc>
        <w:tc>
          <w:tcPr>
            <w:tcW w:w="481" w:type="pct"/>
            <w:vMerge w:val="continue"/>
            <w:vAlign w:val="center"/>
          </w:tcPr>
          <w:p>
            <w:pPr>
              <w:pStyle w:val="53"/>
            </w:pPr>
          </w:p>
        </w:tc>
        <w:tc>
          <w:tcPr>
            <w:tcW w:w="879" w:type="pct"/>
            <w:vAlign w:val="center"/>
          </w:tcPr>
          <w:p>
            <w:pPr>
              <w:pStyle w:val="53"/>
            </w:pPr>
            <w:r>
              <w:t>林草覆盖率（%）</w:t>
            </w:r>
          </w:p>
        </w:tc>
        <w:tc>
          <w:tcPr>
            <w:tcW w:w="401" w:type="pct"/>
            <w:vAlign w:val="center"/>
          </w:tcPr>
          <w:p>
            <w:pPr>
              <w:pStyle w:val="53"/>
            </w:pPr>
            <w:r>
              <w:t>25</w:t>
            </w:r>
          </w:p>
        </w:tc>
        <w:tc>
          <w:tcPr>
            <w:tcW w:w="472" w:type="pct"/>
            <w:vAlign w:val="center"/>
          </w:tcPr>
          <w:p>
            <w:pPr>
              <w:pStyle w:val="53"/>
            </w:pPr>
            <w:r>
              <w:t>2</w:t>
            </w:r>
          </w:p>
        </w:tc>
        <w:tc>
          <w:tcPr>
            <w:tcW w:w="632" w:type="pct"/>
            <w:vAlign w:val="center"/>
          </w:tcPr>
          <w:p>
            <w:pPr>
              <w:pStyle w:val="53"/>
            </w:pPr>
            <w:r>
              <w:t>　</w:t>
            </w:r>
          </w:p>
        </w:tc>
        <w:tc>
          <w:tcPr>
            <w:tcW w:w="407" w:type="pct"/>
            <w:vAlign w:val="center"/>
          </w:tcPr>
          <w:p>
            <w:pPr>
              <w:pStyle w:val="53"/>
            </w:pPr>
          </w:p>
        </w:tc>
        <w:tc>
          <w:tcPr>
            <w:tcW w:w="588" w:type="pct"/>
            <w:vAlign w:val="center"/>
          </w:tcPr>
          <w:p>
            <w:pPr>
              <w:pStyle w:val="53"/>
            </w:pPr>
            <w:r>
              <w:t>27</w:t>
            </w:r>
          </w:p>
        </w:tc>
      </w:tr>
    </w:tbl>
    <w:p>
      <w:pPr>
        <w:pStyle w:val="54"/>
        <w:spacing w:before="156" w:beforeLines="0"/>
      </w:pPr>
    </w:p>
    <w:p>
      <w:pPr>
        <w:pStyle w:val="4"/>
        <w:ind w:firstLine="562"/>
      </w:pPr>
      <w:bookmarkStart w:id="45" w:name="_Toc2202"/>
      <w:r>
        <w:t>2.</w:t>
      </w:r>
      <w:r>
        <w:rPr>
          <w:rFonts w:hint="eastAsia"/>
        </w:rPr>
        <w:t>5水土保持措施和工程量</w:t>
      </w:r>
      <w:bookmarkEnd w:id="45"/>
    </w:p>
    <w:p>
      <w:pPr>
        <w:spacing w:line="560" w:lineRule="exact"/>
        <w:ind w:firstLine="480"/>
      </w:pPr>
      <w:r>
        <w:rPr>
          <w:rFonts w:hint="eastAsia"/>
        </w:rPr>
        <w:t>工程建设范围内场地平整，所处地貌单元为平原区，地貌单元单一，以工程施工工艺、生产方式和特性等为主要依据，结合方案编制总则、本项目的具体情况、施工布置， 考虑施工过程中水土流失的特点，按照工程措施和植物措施相结合、重点治理和一般防护相结合、安全保护和水土资源保护相结合、治理水土流失和恢复、提高土地生产力相结合原则，对建设区水土流失进行系统、全面设计，形成完整的水土流失防治体系。</w:t>
      </w:r>
    </w:p>
    <w:p>
      <w:pPr>
        <w:ind w:firstLine="480"/>
        <w:jc w:val="center"/>
      </w:pPr>
      <w:r>
        <w:drawing>
          <wp:inline distT="0" distB="0" distL="0" distR="0">
            <wp:extent cx="4428490" cy="3899535"/>
            <wp:effectExtent l="0" t="0" r="0" b="5715"/>
            <wp:docPr id="15" name="图片 3" descr="措施体系框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措施体系框图(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428490" cy="3899535"/>
                    </a:xfrm>
                    <a:prstGeom prst="rect">
                      <a:avLst/>
                    </a:prstGeom>
                    <a:noFill/>
                    <a:ln>
                      <a:noFill/>
                    </a:ln>
                  </pic:spPr>
                </pic:pic>
              </a:graphicData>
            </a:graphic>
          </wp:inline>
        </w:drawing>
      </w:r>
    </w:p>
    <w:p>
      <w:pPr>
        <w:tabs>
          <w:tab w:val="left" w:pos="3826"/>
        </w:tabs>
        <w:spacing w:before="139"/>
        <w:ind w:left="2811" w:firstLine="422"/>
        <w:jc w:val="left"/>
        <w:rPr>
          <w:b/>
          <w:sz w:val="21"/>
        </w:rPr>
      </w:pPr>
      <w:r>
        <w:rPr>
          <w:b/>
          <w:sz w:val="21"/>
        </w:rPr>
        <w:t>图</w:t>
      </w:r>
      <w:r>
        <w:rPr>
          <w:b/>
          <w:spacing w:val="-55"/>
          <w:sz w:val="21"/>
        </w:rPr>
        <w:t xml:space="preserve"> </w:t>
      </w:r>
      <w:r>
        <w:rPr>
          <w:rFonts w:hint="eastAsia" w:eastAsia="宋体"/>
          <w:b/>
          <w:sz w:val="21"/>
        </w:rPr>
        <w:t>2-</w:t>
      </w:r>
      <w:r>
        <w:rPr>
          <w:rFonts w:eastAsia="Times New Roman"/>
          <w:b/>
          <w:sz w:val="21"/>
        </w:rPr>
        <w:t>1</w:t>
      </w:r>
      <w:r>
        <w:rPr>
          <w:rFonts w:eastAsia="Times New Roman"/>
          <w:b/>
          <w:sz w:val="21"/>
        </w:rPr>
        <w:tab/>
      </w:r>
      <w:r>
        <w:rPr>
          <w:b/>
          <w:sz w:val="21"/>
        </w:rPr>
        <w:t>水土保持措施总体布局图</w:t>
      </w:r>
    </w:p>
    <w:p>
      <w:pPr>
        <w:ind w:firstLine="480"/>
      </w:pPr>
      <w:r>
        <w:rPr>
          <w:rFonts w:hint="eastAsia"/>
        </w:rPr>
        <w:t>本工程的防治措施由</w:t>
      </w:r>
      <w:bookmarkStart w:id="46" w:name="OLE_LINK11"/>
      <w:r>
        <w:rPr>
          <w:rFonts w:hint="eastAsia"/>
        </w:rPr>
        <w:t>主体工程具有水土保持功能的措施</w:t>
      </w:r>
      <w:bookmarkEnd w:id="46"/>
      <w:r>
        <w:rPr>
          <w:rFonts w:hint="eastAsia"/>
        </w:rPr>
        <w:t>和本水土保持方案新增措施组成。主体工程具有水土保持功能的措施在第五章中分析，详细见5.6。水土保持措施主要包括工程措施、植物措施、临时措施，本工程防治措施中除主体工程已有水土保持功能的措施外，方案新增治理措施主要为植物措施和临时措施，临时措施待施工结束后予以拆除。</w:t>
      </w:r>
    </w:p>
    <w:p>
      <w:pPr>
        <w:ind w:firstLine="480"/>
      </w:pPr>
      <w:r>
        <w:t>本方案新增水土保持措施工程量如下：</w:t>
      </w:r>
    </w:p>
    <w:p>
      <w:pPr>
        <w:ind w:firstLine="480"/>
      </w:pPr>
      <w:r>
        <w:t>东区：临时排水沟2680m，挖填方1658m</w:t>
      </w:r>
      <w:r>
        <w:rPr>
          <w:vertAlign w:val="superscript"/>
        </w:rPr>
        <w:t>3</w:t>
      </w:r>
      <w:r>
        <w:t>，砌砖499m</w:t>
      </w:r>
      <w:r>
        <w:rPr>
          <w:vertAlign w:val="superscript"/>
        </w:rPr>
        <w:t>3</w:t>
      </w:r>
      <w:r>
        <w:t>，水泥砂浆抹面（20mm厚）2992m</w:t>
      </w:r>
      <w:r>
        <w:rPr>
          <w:vertAlign w:val="superscript"/>
        </w:rPr>
        <w:t>2</w:t>
      </w:r>
      <w:r>
        <w:t>，C10素混凝土垫层247m</w:t>
      </w:r>
      <w:r>
        <w:rPr>
          <w:vertAlign w:val="superscript"/>
        </w:rPr>
        <w:t>3</w:t>
      </w:r>
      <w:r>
        <w:t>；临时砖砌沉沙池19个，挖填方133m</w:t>
      </w:r>
      <w:r>
        <w:rPr>
          <w:vertAlign w:val="superscript"/>
        </w:rPr>
        <w:t>3</w:t>
      </w:r>
      <w:r>
        <w:t>，砌砖50m</w:t>
      </w:r>
      <w:r>
        <w:rPr>
          <w:vertAlign w:val="superscript"/>
        </w:rPr>
        <w:t>3</w:t>
      </w:r>
      <w:r>
        <w:t>，水泥砂浆抹面（20mm厚）144m</w:t>
      </w:r>
      <w:r>
        <w:rPr>
          <w:vertAlign w:val="superscript"/>
        </w:rPr>
        <w:t>2</w:t>
      </w:r>
      <w:r>
        <w:t>，C10素混凝土垫层22m</w:t>
      </w:r>
      <w:r>
        <w:rPr>
          <w:vertAlign w:val="superscript"/>
        </w:rPr>
        <w:t>3</w:t>
      </w:r>
      <w:r>
        <w:t>；临时土袋拦挡470m</w:t>
      </w:r>
      <w:r>
        <w:rPr>
          <w:vertAlign w:val="superscript"/>
        </w:rPr>
        <w:t>3</w:t>
      </w:r>
      <w:r>
        <w:t>；临时覆盖42000m</w:t>
      </w:r>
      <w:r>
        <w:rPr>
          <w:vertAlign w:val="superscript"/>
        </w:rPr>
        <w:t>2</w:t>
      </w:r>
      <w:r>
        <w:t>；清除硬化层1420m</w:t>
      </w:r>
      <w:r>
        <w:rPr>
          <w:vertAlign w:val="superscript"/>
        </w:rPr>
        <w:t>3</w:t>
      </w:r>
      <w:r>
        <w:t>，土地平整10.62hm</w:t>
      </w:r>
      <w:r>
        <w:rPr>
          <w:vertAlign w:val="superscript"/>
        </w:rPr>
        <w:t>2</w:t>
      </w:r>
      <w:r>
        <w:t>。</w:t>
      </w:r>
    </w:p>
    <w:p>
      <w:pPr>
        <w:spacing w:line="336" w:lineRule="auto"/>
        <w:ind w:firstLine="480"/>
      </w:pPr>
      <w:r>
        <w:t>西区：临时排水沟1170m，挖填方484m</w:t>
      </w:r>
      <w:r>
        <w:rPr>
          <w:vertAlign w:val="superscript"/>
        </w:rPr>
        <w:t>3</w:t>
      </w:r>
      <w:r>
        <w:t>，砌砖127m</w:t>
      </w:r>
      <w:r>
        <w:rPr>
          <w:vertAlign w:val="superscript"/>
        </w:rPr>
        <w:t>3</w:t>
      </w:r>
      <w:r>
        <w:t>，水泥砂浆抹面（20mm厚）763m</w:t>
      </w:r>
      <w:r>
        <w:rPr>
          <w:vertAlign w:val="superscript"/>
        </w:rPr>
        <w:t>2</w:t>
      </w:r>
      <w:r>
        <w:t>，C10素混凝土垫层63m</w:t>
      </w:r>
      <w:r>
        <w:rPr>
          <w:vertAlign w:val="superscript"/>
        </w:rPr>
        <w:t>3</w:t>
      </w:r>
      <w:r>
        <w:t>；临时砖砌沉沙池7个，挖填方49m</w:t>
      </w:r>
      <w:r>
        <w:rPr>
          <w:vertAlign w:val="superscript"/>
        </w:rPr>
        <w:t>3</w:t>
      </w:r>
      <w:r>
        <w:t>，砌砖19m</w:t>
      </w:r>
      <w:r>
        <w:rPr>
          <w:vertAlign w:val="superscript"/>
        </w:rPr>
        <w:t>3</w:t>
      </w:r>
      <w:r>
        <w:t>，水泥砂浆抹面（20mm厚）42m</w:t>
      </w:r>
      <w:r>
        <w:rPr>
          <w:vertAlign w:val="superscript"/>
        </w:rPr>
        <w:t>2</w:t>
      </w:r>
      <w:r>
        <w:t>，C10素混凝土垫层8m</w:t>
      </w:r>
      <w:r>
        <w:rPr>
          <w:vertAlign w:val="superscript"/>
        </w:rPr>
        <w:t>3</w:t>
      </w:r>
      <w:r>
        <w:t>；临时土袋拦挡340m</w:t>
      </w:r>
      <w:r>
        <w:rPr>
          <w:vertAlign w:val="superscript"/>
        </w:rPr>
        <w:t>3</w:t>
      </w:r>
      <w:r>
        <w:t>；临时覆盖22600m</w:t>
      </w:r>
      <w:r>
        <w:rPr>
          <w:vertAlign w:val="superscript"/>
        </w:rPr>
        <w:t>2</w:t>
      </w:r>
      <w:r>
        <w:t>；清除硬化层840m</w:t>
      </w:r>
      <w:r>
        <w:rPr>
          <w:vertAlign w:val="superscript"/>
        </w:rPr>
        <w:t>3</w:t>
      </w:r>
      <w:r>
        <w:t>，土地平整3.89hm</w:t>
      </w:r>
      <w:r>
        <w:rPr>
          <w:vertAlign w:val="superscript"/>
        </w:rPr>
        <w:t>2</w:t>
      </w:r>
      <w:r>
        <w:t>。</w:t>
      </w:r>
    </w:p>
    <w:p>
      <w:pPr>
        <w:ind w:firstLine="480"/>
        <w:sectPr>
          <w:pgSz w:w="11906" w:h="16838"/>
          <w:pgMar w:top="1587" w:right="1587" w:bottom="1587" w:left="1587" w:header="567" w:footer="567" w:gutter="0"/>
          <w:cols w:space="720" w:num="1"/>
          <w:docGrid w:type="lines" w:linePitch="312" w:charSpace="0"/>
        </w:sectPr>
      </w:pPr>
    </w:p>
    <w:p>
      <w:pPr>
        <w:pStyle w:val="2"/>
        <w:ind w:firstLine="482"/>
        <w:jc w:val="center"/>
        <w:rPr>
          <w:b/>
          <w:color w:val="000000"/>
        </w:rPr>
      </w:pPr>
      <w:r>
        <w:rPr>
          <w:b/>
          <w:color w:val="000000"/>
        </w:rPr>
        <w:t>表</w:t>
      </w:r>
      <w:r>
        <w:rPr>
          <w:rFonts w:hint="eastAsia"/>
          <w:b/>
          <w:color w:val="000000"/>
        </w:rPr>
        <w:t>2</w:t>
      </w:r>
      <w:r>
        <w:rPr>
          <w:b/>
          <w:color w:val="000000"/>
        </w:rPr>
        <w:t>-</w:t>
      </w:r>
      <w:r>
        <w:rPr>
          <w:rFonts w:hint="eastAsia"/>
          <w:b/>
          <w:color w:val="000000"/>
        </w:rPr>
        <w:t>4</w:t>
      </w:r>
      <w:r>
        <w:rPr>
          <w:b/>
          <w:color w:val="000000"/>
        </w:rPr>
        <w:t xml:space="preserve">  水土保持防治措施工程量汇总表</w:t>
      </w:r>
    </w:p>
    <w:tbl>
      <w:tblPr>
        <w:tblStyle w:val="23"/>
        <w:tblW w:w="500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147"/>
        <w:gridCol w:w="953"/>
        <w:gridCol w:w="731"/>
        <w:gridCol w:w="745"/>
        <w:gridCol w:w="963"/>
        <w:gridCol w:w="786"/>
        <w:gridCol w:w="1175"/>
        <w:gridCol w:w="745"/>
        <w:gridCol w:w="842"/>
        <w:gridCol w:w="968"/>
        <w:gridCol w:w="746"/>
        <w:gridCol w:w="746"/>
        <w:gridCol w:w="749"/>
        <w:gridCol w:w="746"/>
        <w:gridCol w:w="73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3" w:type="pct"/>
            <w:gridSpan w:val="2"/>
            <w:vMerge w:val="restart"/>
            <w:shd w:val="clear" w:color="auto" w:fill="auto"/>
            <w:vAlign w:val="center"/>
          </w:tcPr>
          <w:p>
            <w:pPr>
              <w:pStyle w:val="53"/>
            </w:pPr>
            <w:r>
              <w:t>项目分区</w:t>
            </w:r>
          </w:p>
        </w:tc>
        <w:tc>
          <w:tcPr>
            <w:tcW w:w="3654" w:type="pct"/>
            <w:gridSpan w:val="12"/>
            <w:shd w:val="clear" w:color="auto" w:fill="auto"/>
            <w:vAlign w:val="center"/>
          </w:tcPr>
          <w:p>
            <w:pPr>
              <w:pStyle w:val="53"/>
            </w:pPr>
            <w:r>
              <w:t>临时措施</w:t>
            </w:r>
          </w:p>
        </w:tc>
        <w:tc>
          <w:tcPr>
            <w:tcW w:w="533" w:type="pct"/>
            <w:gridSpan w:val="2"/>
            <w:shd w:val="clear" w:color="auto" w:fill="auto"/>
          </w:tcPr>
          <w:p>
            <w:pPr>
              <w:pStyle w:val="53"/>
            </w:pPr>
            <w:r>
              <w:t>工程措施</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13" w:type="pct"/>
            <w:gridSpan w:val="2"/>
            <w:vMerge w:val="continue"/>
            <w:shd w:val="clear" w:color="auto" w:fill="auto"/>
            <w:vAlign w:val="center"/>
          </w:tcPr>
          <w:p>
            <w:pPr>
              <w:pStyle w:val="53"/>
            </w:pPr>
          </w:p>
        </w:tc>
        <w:tc>
          <w:tcPr>
            <w:tcW w:w="1500" w:type="pct"/>
            <w:gridSpan w:val="5"/>
            <w:shd w:val="clear" w:color="auto" w:fill="auto"/>
            <w:vAlign w:val="center"/>
          </w:tcPr>
          <w:p>
            <w:pPr>
              <w:pStyle w:val="53"/>
            </w:pPr>
            <w:r>
              <w:t>砖砌沉沙池</w:t>
            </w:r>
          </w:p>
        </w:tc>
        <w:tc>
          <w:tcPr>
            <w:tcW w:w="1615" w:type="pct"/>
            <w:gridSpan w:val="5"/>
            <w:shd w:val="clear" w:color="auto" w:fill="auto"/>
            <w:vAlign w:val="center"/>
          </w:tcPr>
          <w:p>
            <w:pPr>
              <w:pStyle w:val="53"/>
            </w:pPr>
            <w:r>
              <w:t>临时排水沟</w:t>
            </w:r>
          </w:p>
        </w:tc>
        <w:tc>
          <w:tcPr>
            <w:tcW w:w="269" w:type="pct"/>
            <w:shd w:val="clear" w:color="auto" w:fill="auto"/>
            <w:vAlign w:val="center"/>
          </w:tcPr>
          <w:p>
            <w:pPr>
              <w:pStyle w:val="53"/>
            </w:pPr>
            <w:r>
              <w:t>土袋</w:t>
            </w:r>
          </w:p>
          <w:p>
            <w:pPr>
              <w:pStyle w:val="53"/>
            </w:pPr>
            <w:r>
              <w:t>拦挡</w:t>
            </w:r>
          </w:p>
          <w:p>
            <w:pPr>
              <w:pStyle w:val="53"/>
            </w:pPr>
            <w:r>
              <w:t>　</w:t>
            </w:r>
          </w:p>
        </w:tc>
        <w:tc>
          <w:tcPr>
            <w:tcW w:w="270" w:type="pct"/>
            <w:shd w:val="clear" w:color="auto" w:fill="auto"/>
            <w:vAlign w:val="center"/>
          </w:tcPr>
          <w:p>
            <w:pPr>
              <w:pStyle w:val="53"/>
            </w:pPr>
            <w:r>
              <w:t>临时</w:t>
            </w:r>
          </w:p>
          <w:p>
            <w:pPr>
              <w:pStyle w:val="53"/>
            </w:pPr>
            <w:r>
              <w:t>覆盖</w:t>
            </w:r>
          </w:p>
        </w:tc>
        <w:tc>
          <w:tcPr>
            <w:tcW w:w="269" w:type="pct"/>
            <w:shd w:val="clear" w:color="auto" w:fill="auto"/>
            <w:vAlign w:val="center"/>
          </w:tcPr>
          <w:p>
            <w:pPr>
              <w:pStyle w:val="53"/>
            </w:pPr>
            <w:r>
              <w:t>清除硬化层</w:t>
            </w:r>
          </w:p>
        </w:tc>
        <w:tc>
          <w:tcPr>
            <w:tcW w:w="264" w:type="pct"/>
            <w:shd w:val="clear" w:color="auto" w:fill="auto"/>
          </w:tcPr>
          <w:p>
            <w:pPr>
              <w:pStyle w:val="53"/>
            </w:pPr>
            <w:r>
              <w:t>　</w:t>
            </w:r>
          </w:p>
          <w:p>
            <w:pPr>
              <w:pStyle w:val="53"/>
            </w:pPr>
            <w:r>
              <w:t>土地</w:t>
            </w:r>
          </w:p>
          <w:p>
            <w:pPr>
              <w:pStyle w:val="53"/>
            </w:pPr>
            <w:r>
              <w:t>平整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344" w:hRule="atLeast"/>
        </w:trPr>
        <w:tc>
          <w:tcPr>
            <w:tcW w:w="813" w:type="pct"/>
            <w:gridSpan w:val="2"/>
            <w:vMerge w:val="continue"/>
            <w:shd w:val="clear" w:color="auto" w:fill="auto"/>
            <w:vAlign w:val="center"/>
          </w:tcPr>
          <w:p>
            <w:pPr>
              <w:pStyle w:val="53"/>
            </w:pPr>
          </w:p>
        </w:tc>
        <w:tc>
          <w:tcPr>
            <w:tcW w:w="344" w:type="pct"/>
            <w:shd w:val="clear" w:color="auto" w:fill="auto"/>
            <w:vAlign w:val="center"/>
          </w:tcPr>
          <w:p>
            <w:pPr>
              <w:pStyle w:val="53"/>
            </w:pPr>
            <w:r>
              <w:t>个</w:t>
            </w:r>
          </w:p>
        </w:tc>
        <w:tc>
          <w:tcPr>
            <w:tcW w:w="264" w:type="pct"/>
            <w:shd w:val="clear" w:color="auto" w:fill="auto"/>
            <w:vAlign w:val="center"/>
          </w:tcPr>
          <w:p>
            <w:pPr>
              <w:pStyle w:val="53"/>
            </w:pPr>
            <w:r>
              <w:t>挖填方</w:t>
            </w:r>
          </w:p>
          <w:p>
            <w:pPr>
              <w:pStyle w:val="53"/>
            </w:pPr>
            <w:r>
              <w:t>m</w:t>
            </w:r>
            <w:r>
              <w:rPr>
                <w:rFonts w:hint="eastAsia"/>
                <w:sz w:val="24"/>
                <w:vertAlign w:val="superscript"/>
              </w:rPr>
              <w:t>3</w:t>
            </w:r>
          </w:p>
        </w:tc>
        <w:tc>
          <w:tcPr>
            <w:tcW w:w="269" w:type="pct"/>
            <w:shd w:val="clear" w:color="auto" w:fill="auto"/>
            <w:vAlign w:val="center"/>
          </w:tcPr>
          <w:p>
            <w:pPr>
              <w:pStyle w:val="53"/>
            </w:pPr>
            <w:r>
              <w:t>砌砖</w:t>
            </w:r>
          </w:p>
          <w:p>
            <w:pPr>
              <w:pStyle w:val="53"/>
            </w:pPr>
            <w:r>
              <w:t>m</w:t>
            </w:r>
            <w:r>
              <w:rPr>
                <w:rFonts w:hint="eastAsia"/>
                <w:sz w:val="24"/>
                <w:vertAlign w:val="superscript"/>
              </w:rPr>
              <w:t>3</w:t>
            </w:r>
          </w:p>
        </w:tc>
        <w:tc>
          <w:tcPr>
            <w:tcW w:w="339" w:type="pct"/>
            <w:shd w:val="clear" w:color="auto" w:fill="auto"/>
            <w:vAlign w:val="center"/>
          </w:tcPr>
          <w:p>
            <w:pPr>
              <w:pStyle w:val="53"/>
            </w:pPr>
            <w:r>
              <w:t>水泥砂浆抹面m</w:t>
            </w:r>
            <w:r>
              <w:rPr>
                <w:rFonts w:hint="eastAsia"/>
                <w:sz w:val="24"/>
                <w:vertAlign w:val="superscript"/>
              </w:rPr>
              <w:t>2</w:t>
            </w:r>
            <w:r>
              <w:t>（20mm厚）</w:t>
            </w:r>
          </w:p>
        </w:tc>
        <w:tc>
          <w:tcPr>
            <w:tcW w:w="284" w:type="pct"/>
            <w:shd w:val="clear" w:color="auto" w:fill="auto"/>
            <w:vAlign w:val="center"/>
          </w:tcPr>
          <w:p>
            <w:pPr>
              <w:pStyle w:val="53"/>
            </w:pPr>
            <w:r>
              <w:t>C10素混凝土垫层m</w:t>
            </w:r>
            <w:r>
              <w:rPr>
                <w:rFonts w:hint="eastAsia"/>
                <w:sz w:val="24"/>
                <w:vertAlign w:val="superscript"/>
              </w:rPr>
              <w:t>3</w:t>
            </w:r>
          </w:p>
        </w:tc>
        <w:tc>
          <w:tcPr>
            <w:tcW w:w="424" w:type="pct"/>
            <w:shd w:val="clear" w:color="auto" w:fill="auto"/>
            <w:vAlign w:val="center"/>
          </w:tcPr>
          <w:p>
            <w:pPr>
              <w:pStyle w:val="53"/>
            </w:pPr>
            <w:r>
              <w:t>m</w:t>
            </w:r>
          </w:p>
        </w:tc>
        <w:tc>
          <w:tcPr>
            <w:tcW w:w="269" w:type="pct"/>
            <w:shd w:val="clear" w:color="auto" w:fill="auto"/>
            <w:vAlign w:val="center"/>
          </w:tcPr>
          <w:p>
            <w:pPr>
              <w:pStyle w:val="53"/>
            </w:pPr>
            <w:r>
              <w:t>挖填方</w:t>
            </w:r>
          </w:p>
          <w:p>
            <w:pPr>
              <w:pStyle w:val="53"/>
            </w:pPr>
            <w:r>
              <w:t>m</w:t>
            </w:r>
            <w:r>
              <w:rPr>
                <w:rFonts w:hint="eastAsia"/>
                <w:sz w:val="24"/>
                <w:vertAlign w:val="superscript"/>
              </w:rPr>
              <w:t>3</w:t>
            </w:r>
          </w:p>
        </w:tc>
        <w:tc>
          <w:tcPr>
            <w:tcW w:w="304" w:type="pct"/>
            <w:shd w:val="clear" w:color="auto" w:fill="auto"/>
            <w:vAlign w:val="center"/>
          </w:tcPr>
          <w:p>
            <w:pPr>
              <w:pStyle w:val="53"/>
            </w:pPr>
            <w:r>
              <w:t>砌砖</w:t>
            </w:r>
          </w:p>
          <w:p>
            <w:pPr>
              <w:pStyle w:val="53"/>
            </w:pPr>
            <w:r>
              <w:t>m</w:t>
            </w:r>
            <w:r>
              <w:rPr>
                <w:rFonts w:hint="eastAsia"/>
                <w:sz w:val="24"/>
                <w:vertAlign w:val="superscript"/>
              </w:rPr>
              <w:t>2</w:t>
            </w:r>
          </w:p>
        </w:tc>
        <w:tc>
          <w:tcPr>
            <w:tcW w:w="349" w:type="pct"/>
            <w:shd w:val="clear" w:color="auto" w:fill="auto"/>
            <w:vAlign w:val="center"/>
          </w:tcPr>
          <w:p>
            <w:pPr>
              <w:pStyle w:val="53"/>
            </w:pPr>
            <w:r>
              <w:t>水泥砂浆抹面m</w:t>
            </w:r>
            <w:r>
              <w:rPr>
                <w:rFonts w:hint="eastAsia"/>
                <w:sz w:val="24"/>
                <w:vertAlign w:val="superscript"/>
              </w:rPr>
              <w:t>2</w:t>
            </w:r>
            <w:r>
              <w:t>（20mm厚）</w:t>
            </w:r>
          </w:p>
        </w:tc>
        <w:tc>
          <w:tcPr>
            <w:tcW w:w="269" w:type="pct"/>
            <w:shd w:val="clear" w:color="auto" w:fill="auto"/>
            <w:vAlign w:val="center"/>
          </w:tcPr>
          <w:p>
            <w:pPr>
              <w:pStyle w:val="53"/>
            </w:pPr>
            <w:r>
              <w:t>C10素混凝土垫层m</w:t>
            </w:r>
            <w:r>
              <w:rPr>
                <w:rFonts w:hint="eastAsia"/>
                <w:sz w:val="24"/>
                <w:vertAlign w:val="superscript"/>
              </w:rPr>
              <w:t>3</w:t>
            </w:r>
          </w:p>
        </w:tc>
        <w:tc>
          <w:tcPr>
            <w:tcW w:w="269" w:type="pct"/>
            <w:shd w:val="clear" w:color="auto" w:fill="auto"/>
            <w:vAlign w:val="center"/>
          </w:tcPr>
          <w:p>
            <w:pPr>
              <w:pStyle w:val="53"/>
            </w:pPr>
            <w:r>
              <w:t>m</w:t>
            </w:r>
            <w:r>
              <w:rPr>
                <w:rFonts w:hint="eastAsia"/>
                <w:sz w:val="24"/>
                <w:vertAlign w:val="superscript"/>
              </w:rPr>
              <w:t>3</w:t>
            </w:r>
          </w:p>
        </w:tc>
        <w:tc>
          <w:tcPr>
            <w:tcW w:w="270" w:type="pct"/>
            <w:shd w:val="clear" w:color="auto" w:fill="auto"/>
            <w:vAlign w:val="center"/>
          </w:tcPr>
          <w:p>
            <w:pPr>
              <w:pStyle w:val="53"/>
            </w:pPr>
            <w:r>
              <w:t>m</w:t>
            </w:r>
            <w:r>
              <w:rPr>
                <w:rFonts w:hint="eastAsia"/>
                <w:sz w:val="24"/>
                <w:vertAlign w:val="superscript"/>
              </w:rPr>
              <w:t>2</w:t>
            </w:r>
          </w:p>
        </w:tc>
        <w:tc>
          <w:tcPr>
            <w:tcW w:w="269" w:type="pct"/>
            <w:shd w:val="clear" w:color="auto" w:fill="auto"/>
            <w:vAlign w:val="center"/>
          </w:tcPr>
          <w:p>
            <w:pPr>
              <w:pStyle w:val="53"/>
            </w:pPr>
            <w:r>
              <w:t>m</w:t>
            </w:r>
            <w:r>
              <w:rPr>
                <w:rFonts w:hint="eastAsia"/>
                <w:sz w:val="24"/>
                <w:vertAlign w:val="superscript"/>
              </w:rPr>
              <w:t>3</w:t>
            </w:r>
          </w:p>
        </w:tc>
        <w:tc>
          <w:tcPr>
            <w:tcW w:w="264" w:type="pct"/>
            <w:shd w:val="clear" w:color="auto" w:fill="auto"/>
            <w:vAlign w:val="center"/>
          </w:tcPr>
          <w:p>
            <w:pPr>
              <w:pStyle w:val="53"/>
            </w:pPr>
            <w:r>
              <w:t>hm</w:t>
            </w:r>
            <w:r>
              <w:rPr>
                <w:rFonts w:hint="eastAsia"/>
                <w:sz w:val="24"/>
                <w:vertAlign w:val="superscript"/>
              </w:rPr>
              <w:t>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restart"/>
            <w:shd w:val="clear" w:color="auto" w:fill="auto"/>
            <w:vAlign w:val="center"/>
          </w:tcPr>
          <w:p>
            <w:pPr>
              <w:pStyle w:val="53"/>
            </w:pPr>
            <w:r>
              <w:t>主体工程区</w:t>
            </w:r>
          </w:p>
        </w:tc>
        <w:tc>
          <w:tcPr>
            <w:tcW w:w="414" w:type="pct"/>
            <w:vMerge w:val="restart"/>
            <w:shd w:val="clear" w:color="auto" w:fill="auto"/>
            <w:vAlign w:val="center"/>
          </w:tcPr>
          <w:p>
            <w:pPr>
              <w:pStyle w:val="53"/>
            </w:pPr>
            <w:r>
              <w:t>建筑物区</w:t>
            </w:r>
          </w:p>
        </w:tc>
        <w:tc>
          <w:tcPr>
            <w:tcW w:w="344" w:type="pct"/>
            <w:vMerge w:val="restart"/>
            <w:shd w:val="clear" w:color="auto" w:fill="auto"/>
            <w:vAlign w:val="center"/>
          </w:tcPr>
          <w:p>
            <w:pPr>
              <w:pStyle w:val="53"/>
            </w:pPr>
            <w:r>
              <w:t>　</w:t>
            </w:r>
          </w:p>
        </w:tc>
        <w:tc>
          <w:tcPr>
            <w:tcW w:w="264"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　</w:t>
            </w:r>
          </w:p>
        </w:tc>
        <w:tc>
          <w:tcPr>
            <w:tcW w:w="339" w:type="pct"/>
            <w:vMerge w:val="restart"/>
            <w:shd w:val="clear" w:color="auto" w:fill="auto"/>
            <w:vAlign w:val="center"/>
          </w:tcPr>
          <w:p>
            <w:pPr>
              <w:pStyle w:val="53"/>
            </w:pPr>
            <w:r>
              <w:t>　</w:t>
            </w:r>
          </w:p>
        </w:tc>
        <w:tc>
          <w:tcPr>
            <w:tcW w:w="284" w:type="pct"/>
            <w:vMerge w:val="restart"/>
            <w:shd w:val="clear" w:color="auto" w:fill="auto"/>
            <w:vAlign w:val="center"/>
          </w:tcPr>
          <w:p>
            <w:pPr>
              <w:pStyle w:val="53"/>
            </w:pPr>
            <w:r>
              <w:t>　</w:t>
            </w:r>
          </w:p>
        </w:tc>
        <w:tc>
          <w:tcPr>
            <w:tcW w:w="424"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　</w:t>
            </w:r>
          </w:p>
        </w:tc>
        <w:tc>
          <w:tcPr>
            <w:tcW w:w="304" w:type="pct"/>
            <w:vMerge w:val="restart"/>
            <w:shd w:val="clear" w:color="auto" w:fill="auto"/>
            <w:vAlign w:val="center"/>
          </w:tcPr>
          <w:p>
            <w:pPr>
              <w:pStyle w:val="53"/>
            </w:pPr>
            <w:r>
              <w:t>　</w:t>
            </w:r>
          </w:p>
        </w:tc>
        <w:tc>
          <w:tcPr>
            <w:tcW w:w="349"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　</w:t>
            </w:r>
          </w:p>
        </w:tc>
        <w:tc>
          <w:tcPr>
            <w:tcW w:w="270" w:type="pct"/>
            <w:vMerge w:val="restart"/>
            <w:shd w:val="clear" w:color="auto" w:fill="auto"/>
            <w:vAlign w:val="center"/>
          </w:tcPr>
          <w:p>
            <w:pPr>
              <w:pStyle w:val="53"/>
            </w:pPr>
            <w:r>
              <w:t>12000</w:t>
            </w:r>
          </w:p>
        </w:tc>
        <w:tc>
          <w:tcPr>
            <w:tcW w:w="269" w:type="pct"/>
            <w:vMerge w:val="restart"/>
            <w:shd w:val="clear" w:color="auto" w:fill="auto"/>
            <w:vAlign w:val="center"/>
          </w:tcPr>
          <w:p>
            <w:pPr>
              <w:pStyle w:val="53"/>
            </w:pPr>
            <w:r>
              <w:t>　</w:t>
            </w:r>
          </w:p>
        </w:tc>
        <w:tc>
          <w:tcPr>
            <w:tcW w:w="264" w:type="pct"/>
            <w:vMerge w:val="restart"/>
            <w:shd w:val="clear" w:color="auto" w:fill="auto"/>
          </w:tcPr>
          <w:p>
            <w:pPr>
              <w:pStyle w:val="53"/>
            </w:pPr>
            <w:r>
              <w:t>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continue"/>
            <w:shd w:val="clear" w:color="auto" w:fill="auto"/>
            <w:vAlign w:val="center"/>
          </w:tcPr>
          <w:p>
            <w:pPr>
              <w:pStyle w:val="53"/>
            </w:pPr>
          </w:p>
        </w:tc>
        <w:tc>
          <w:tcPr>
            <w:tcW w:w="414" w:type="pct"/>
            <w:vMerge w:val="continue"/>
            <w:shd w:val="clear" w:color="auto" w:fill="auto"/>
            <w:vAlign w:val="center"/>
          </w:tcPr>
          <w:p>
            <w:pPr>
              <w:pStyle w:val="53"/>
            </w:pPr>
          </w:p>
        </w:tc>
        <w:tc>
          <w:tcPr>
            <w:tcW w:w="344" w:type="pct"/>
            <w:vMerge w:val="continue"/>
            <w:shd w:val="clear" w:color="auto" w:fill="auto"/>
            <w:vAlign w:val="center"/>
          </w:tcPr>
          <w:p>
            <w:pPr>
              <w:pStyle w:val="53"/>
            </w:pPr>
          </w:p>
        </w:tc>
        <w:tc>
          <w:tcPr>
            <w:tcW w:w="26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39" w:type="pct"/>
            <w:vMerge w:val="continue"/>
            <w:shd w:val="clear" w:color="auto" w:fill="auto"/>
            <w:vAlign w:val="center"/>
          </w:tcPr>
          <w:p>
            <w:pPr>
              <w:pStyle w:val="53"/>
            </w:pPr>
          </w:p>
        </w:tc>
        <w:tc>
          <w:tcPr>
            <w:tcW w:w="284" w:type="pct"/>
            <w:vMerge w:val="continue"/>
            <w:shd w:val="clear" w:color="auto" w:fill="auto"/>
            <w:vAlign w:val="center"/>
          </w:tcPr>
          <w:p>
            <w:pPr>
              <w:pStyle w:val="53"/>
            </w:pPr>
          </w:p>
        </w:tc>
        <w:tc>
          <w:tcPr>
            <w:tcW w:w="42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04" w:type="pct"/>
            <w:vMerge w:val="continue"/>
            <w:shd w:val="clear" w:color="auto" w:fill="auto"/>
            <w:vAlign w:val="center"/>
          </w:tcPr>
          <w:p>
            <w:pPr>
              <w:pStyle w:val="53"/>
            </w:pPr>
          </w:p>
        </w:tc>
        <w:tc>
          <w:tcPr>
            <w:tcW w:w="34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70"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4" w:type="pct"/>
            <w:vMerge w:val="continue"/>
            <w:shd w:val="clear" w:color="auto" w:fill="auto"/>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9" w:type="pct"/>
            <w:vMerge w:val="continue"/>
            <w:shd w:val="clear" w:color="auto" w:fill="auto"/>
            <w:vAlign w:val="center"/>
          </w:tcPr>
          <w:p>
            <w:pPr>
              <w:pStyle w:val="53"/>
            </w:pPr>
          </w:p>
        </w:tc>
        <w:tc>
          <w:tcPr>
            <w:tcW w:w="414" w:type="pct"/>
            <w:shd w:val="clear" w:color="auto" w:fill="auto"/>
            <w:vAlign w:val="center"/>
          </w:tcPr>
          <w:p>
            <w:pPr>
              <w:pStyle w:val="53"/>
            </w:pPr>
            <w:r>
              <w:t>道路广场区</w:t>
            </w:r>
          </w:p>
        </w:tc>
        <w:tc>
          <w:tcPr>
            <w:tcW w:w="344" w:type="pct"/>
            <w:shd w:val="clear" w:color="auto" w:fill="auto"/>
            <w:vAlign w:val="center"/>
          </w:tcPr>
          <w:p>
            <w:pPr>
              <w:pStyle w:val="53"/>
            </w:pPr>
            <w:r>
              <w:t>17</w:t>
            </w:r>
          </w:p>
        </w:tc>
        <w:tc>
          <w:tcPr>
            <w:tcW w:w="264" w:type="pct"/>
            <w:shd w:val="clear" w:color="auto" w:fill="auto"/>
            <w:vAlign w:val="center"/>
          </w:tcPr>
          <w:p>
            <w:pPr>
              <w:pStyle w:val="53"/>
            </w:pPr>
            <w:r>
              <w:t xml:space="preserve">119 </w:t>
            </w:r>
          </w:p>
        </w:tc>
        <w:tc>
          <w:tcPr>
            <w:tcW w:w="269" w:type="pct"/>
            <w:shd w:val="clear" w:color="auto" w:fill="auto"/>
            <w:vAlign w:val="center"/>
          </w:tcPr>
          <w:p>
            <w:pPr>
              <w:pStyle w:val="53"/>
            </w:pPr>
            <w:r>
              <w:t xml:space="preserve">45 </w:t>
            </w:r>
          </w:p>
        </w:tc>
        <w:tc>
          <w:tcPr>
            <w:tcW w:w="339" w:type="pct"/>
            <w:shd w:val="clear" w:color="auto" w:fill="auto"/>
            <w:vAlign w:val="center"/>
          </w:tcPr>
          <w:p>
            <w:pPr>
              <w:pStyle w:val="53"/>
            </w:pPr>
            <w:r>
              <w:t xml:space="preserve">102 </w:t>
            </w:r>
          </w:p>
        </w:tc>
        <w:tc>
          <w:tcPr>
            <w:tcW w:w="284" w:type="pct"/>
            <w:shd w:val="clear" w:color="auto" w:fill="auto"/>
            <w:vAlign w:val="center"/>
          </w:tcPr>
          <w:p>
            <w:pPr>
              <w:pStyle w:val="53"/>
            </w:pPr>
            <w:r>
              <w:t xml:space="preserve">19 </w:t>
            </w:r>
          </w:p>
        </w:tc>
        <w:tc>
          <w:tcPr>
            <w:tcW w:w="424" w:type="pct"/>
            <w:shd w:val="clear" w:color="auto" w:fill="auto"/>
            <w:vAlign w:val="center"/>
          </w:tcPr>
          <w:p>
            <w:pPr>
              <w:pStyle w:val="53"/>
            </w:pPr>
            <w:r>
              <w:t>1990</w:t>
            </w:r>
          </w:p>
        </w:tc>
        <w:tc>
          <w:tcPr>
            <w:tcW w:w="269" w:type="pct"/>
            <w:shd w:val="clear" w:color="auto" w:fill="auto"/>
            <w:vAlign w:val="center"/>
          </w:tcPr>
          <w:p>
            <w:pPr>
              <w:pStyle w:val="53"/>
            </w:pPr>
            <w:r>
              <w:t xml:space="preserve">1533 </w:t>
            </w:r>
          </w:p>
        </w:tc>
        <w:tc>
          <w:tcPr>
            <w:tcW w:w="304" w:type="pct"/>
            <w:shd w:val="clear" w:color="auto" w:fill="auto"/>
            <w:vAlign w:val="center"/>
          </w:tcPr>
          <w:p>
            <w:pPr>
              <w:pStyle w:val="53"/>
            </w:pPr>
            <w:r>
              <w:t xml:space="preserve">499 </w:t>
            </w:r>
          </w:p>
        </w:tc>
        <w:tc>
          <w:tcPr>
            <w:tcW w:w="349" w:type="pct"/>
            <w:shd w:val="clear" w:color="auto" w:fill="auto"/>
            <w:vAlign w:val="center"/>
          </w:tcPr>
          <w:p>
            <w:pPr>
              <w:pStyle w:val="53"/>
            </w:pPr>
            <w:r>
              <w:t xml:space="preserve">2992 </w:t>
            </w:r>
          </w:p>
        </w:tc>
        <w:tc>
          <w:tcPr>
            <w:tcW w:w="269" w:type="pct"/>
            <w:shd w:val="clear" w:color="auto" w:fill="auto"/>
            <w:vAlign w:val="center"/>
          </w:tcPr>
          <w:p>
            <w:pPr>
              <w:pStyle w:val="53"/>
            </w:pPr>
            <w:r>
              <w:t xml:space="preserve">247 </w:t>
            </w:r>
          </w:p>
        </w:tc>
        <w:tc>
          <w:tcPr>
            <w:tcW w:w="269" w:type="pct"/>
            <w:shd w:val="clear" w:color="auto" w:fill="auto"/>
            <w:vAlign w:val="center"/>
          </w:tcPr>
          <w:p>
            <w:pPr>
              <w:pStyle w:val="53"/>
            </w:pPr>
            <w:r>
              <w:t>　</w:t>
            </w:r>
          </w:p>
        </w:tc>
        <w:tc>
          <w:tcPr>
            <w:tcW w:w="270" w:type="pct"/>
            <w:shd w:val="clear" w:color="auto" w:fill="auto"/>
          </w:tcPr>
          <w:p>
            <w:pPr>
              <w:pStyle w:val="53"/>
            </w:pPr>
            <w:r>
              <w:t>15000</w:t>
            </w:r>
          </w:p>
        </w:tc>
        <w:tc>
          <w:tcPr>
            <w:tcW w:w="269" w:type="pct"/>
            <w:shd w:val="clear" w:color="auto" w:fill="auto"/>
            <w:vAlign w:val="center"/>
          </w:tcPr>
          <w:p>
            <w:pPr>
              <w:pStyle w:val="53"/>
            </w:pPr>
            <w:r>
              <w:t>　</w:t>
            </w:r>
          </w:p>
        </w:tc>
        <w:tc>
          <w:tcPr>
            <w:tcW w:w="264" w:type="pct"/>
            <w:shd w:val="clear" w:color="auto" w:fill="auto"/>
          </w:tcPr>
          <w:p>
            <w:pPr>
              <w:pStyle w:val="53"/>
            </w:pPr>
            <w:r>
              <w:t>5.76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continue"/>
            <w:shd w:val="clear" w:color="auto" w:fill="auto"/>
            <w:vAlign w:val="center"/>
          </w:tcPr>
          <w:p>
            <w:pPr>
              <w:pStyle w:val="53"/>
            </w:pPr>
          </w:p>
        </w:tc>
        <w:tc>
          <w:tcPr>
            <w:tcW w:w="414" w:type="pct"/>
            <w:vMerge w:val="restart"/>
            <w:shd w:val="clear" w:color="auto" w:fill="auto"/>
            <w:vAlign w:val="center"/>
          </w:tcPr>
          <w:p>
            <w:pPr>
              <w:pStyle w:val="53"/>
            </w:pPr>
            <w:r>
              <w:t>绿化工程区</w:t>
            </w:r>
          </w:p>
        </w:tc>
        <w:tc>
          <w:tcPr>
            <w:tcW w:w="344" w:type="pct"/>
            <w:vMerge w:val="restart"/>
            <w:shd w:val="clear" w:color="auto" w:fill="auto"/>
            <w:vAlign w:val="center"/>
          </w:tcPr>
          <w:p>
            <w:pPr>
              <w:pStyle w:val="53"/>
            </w:pPr>
            <w:r>
              <w:t>　</w:t>
            </w:r>
          </w:p>
        </w:tc>
        <w:tc>
          <w:tcPr>
            <w:tcW w:w="264"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　</w:t>
            </w:r>
          </w:p>
        </w:tc>
        <w:tc>
          <w:tcPr>
            <w:tcW w:w="339" w:type="pct"/>
            <w:vMerge w:val="restart"/>
            <w:shd w:val="clear" w:color="auto" w:fill="auto"/>
            <w:vAlign w:val="center"/>
          </w:tcPr>
          <w:p>
            <w:pPr>
              <w:pStyle w:val="53"/>
            </w:pPr>
            <w:r>
              <w:t>　</w:t>
            </w:r>
          </w:p>
        </w:tc>
        <w:tc>
          <w:tcPr>
            <w:tcW w:w="284" w:type="pct"/>
            <w:vMerge w:val="restart"/>
            <w:shd w:val="clear" w:color="auto" w:fill="auto"/>
            <w:vAlign w:val="center"/>
          </w:tcPr>
          <w:p>
            <w:pPr>
              <w:pStyle w:val="53"/>
            </w:pPr>
            <w:r>
              <w:t>　</w:t>
            </w:r>
          </w:p>
        </w:tc>
        <w:tc>
          <w:tcPr>
            <w:tcW w:w="424" w:type="pct"/>
            <w:vMerge w:val="restart"/>
            <w:shd w:val="clear" w:color="auto" w:fill="auto"/>
            <w:noWrap/>
            <w:vAlign w:val="center"/>
          </w:tcPr>
          <w:p>
            <w:pPr>
              <w:pStyle w:val="53"/>
            </w:pPr>
            <w:r>
              <w:t>　</w:t>
            </w:r>
          </w:p>
        </w:tc>
        <w:tc>
          <w:tcPr>
            <w:tcW w:w="269" w:type="pct"/>
            <w:vMerge w:val="restart"/>
            <w:shd w:val="clear" w:color="auto" w:fill="auto"/>
            <w:noWrap/>
            <w:vAlign w:val="center"/>
          </w:tcPr>
          <w:p>
            <w:pPr>
              <w:pStyle w:val="53"/>
            </w:pPr>
            <w:r>
              <w:t>　</w:t>
            </w:r>
          </w:p>
        </w:tc>
        <w:tc>
          <w:tcPr>
            <w:tcW w:w="304" w:type="pct"/>
            <w:vMerge w:val="restart"/>
            <w:shd w:val="clear" w:color="auto" w:fill="auto"/>
            <w:noWrap/>
            <w:vAlign w:val="center"/>
          </w:tcPr>
          <w:p>
            <w:pPr>
              <w:pStyle w:val="53"/>
            </w:pPr>
            <w:r>
              <w:t>　</w:t>
            </w:r>
          </w:p>
        </w:tc>
        <w:tc>
          <w:tcPr>
            <w:tcW w:w="349" w:type="pct"/>
            <w:vMerge w:val="restart"/>
            <w:shd w:val="clear" w:color="auto" w:fill="auto"/>
            <w:noWrap/>
            <w:vAlign w:val="center"/>
          </w:tcPr>
          <w:p>
            <w:pPr>
              <w:pStyle w:val="53"/>
            </w:pPr>
            <w:r>
              <w:t>　</w:t>
            </w:r>
          </w:p>
        </w:tc>
        <w:tc>
          <w:tcPr>
            <w:tcW w:w="269" w:type="pct"/>
            <w:vMerge w:val="restart"/>
            <w:shd w:val="clear" w:color="auto" w:fill="auto"/>
            <w:noWrap/>
            <w:vAlign w:val="center"/>
          </w:tcPr>
          <w:p>
            <w:pPr>
              <w:pStyle w:val="53"/>
            </w:pPr>
            <w:r>
              <w:t>　</w:t>
            </w:r>
          </w:p>
        </w:tc>
        <w:tc>
          <w:tcPr>
            <w:tcW w:w="269" w:type="pct"/>
            <w:vMerge w:val="restart"/>
            <w:shd w:val="clear" w:color="auto" w:fill="auto"/>
            <w:noWrap/>
            <w:vAlign w:val="center"/>
          </w:tcPr>
          <w:p>
            <w:pPr>
              <w:pStyle w:val="53"/>
            </w:pPr>
            <w:r>
              <w:t>　</w:t>
            </w:r>
          </w:p>
        </w:tc>
        <w:tc>
          <w:tcPr>
            <w:tcW w:w="270" w:type="pct"/>
            <w:vMerge w:val="restart"/>
            <w:shd w:val="clear" w:color="auto" w:fill="auto"/>
            <w:noWrap/>
            <w:vAlign w:val="center"/>
          </w:tcPr>
          <w:p>
            <w:pPr>
              <w:pStyle w:val="53"/>
            </w:pPr>
            <w:r>
              <w:t>4000</w:t>
            </w:r>
          </w:p>
        </w:tc>
        <w:tc>
          <w:tcPr>
            <w:tcW w:w="269" w:type="pct"/>
            <w:vMerge w:val="restart"/>
            <w:shd w:val="clear" w:color="auto" w:fill="auto"/>
            <w:noWrap/>
            <w:vAlign w:val="center"/>
          </w:tcPr>
          <w:p>
            <w:pPr>
              <w:pStyle w:val="53"/>
            </w:pPr>
            <w:r>
              <w:t>　</w:t>
            </w:r>
          </w:p>
        </w:tc>
        <w:tc>
          <w:tcPr>
            <w:tcW w:w="264" w:type="pct"/>
            <w:vMerge w:val="restart"/>
            <w:shd w:val="clear" w:color="auto" w:fill="auto"/>
            <w:noWrap/>
            <w:vAlign w:val="center"/>
          </w:tcPr>
          <w:p>
            <w:pPr>
              <w:pStyle w:val="53"/>
            </w:pPr>
            <w:r>
              <w:t>4.86</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continue"/>
            <w:shd w:val="clear" w:color="auto" w:fill="auto"/>
            <w:vAlign w:val="center"/>
          </w:tcPr>
          <w:p>
            <w:pPr>
              <w:pStyle w:val="53"/>
            </w:pPr>
          </w:p>
        </w:tc>
        <w:tc>
          <w:tcPr>
            <w:tcW w:w="414" w:type="pct"/>
            <w:vMerge w:val="continue"/>
            <w:shd w:val="clear" w:color="auto" w:fill="auto"/>
            <w:vAlign w:val="center"/>
          </w:tcPr>
          <w:p>
            <w:pPr>
              <w:pStyle w:val="53"/>
            </w:pPr>
          </w:p>
        </w:tc>
        <w:tc>
          <w:tcPr>
            <w:tcW w:w="344" w:type="pct"/>
            <w:vMerge w:val="continue"/>
            <w:shd w:val="clear" w:color="auto" w:fill="auto"/>
            <w:vAlign w:val="center"/>
          </w:tcPr>
          <w:p>
            <w:pPr>
              <w:pStyle w:val="53"/>
            </w:pPr>
          </w:p>
        </w:tc>
        <w:tc>
          <w:tcPr>
            <w:tcW w:w="26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39" w:type="pct"/>
            <w:vMerge w:val="continue"/>
            <w:shd w:val="clear" w:color="auto" w:fill="auto"/>
            <w:vAlign w:val="center"/>
          </w:tcPr>
          <w:p>
            <w:pPr>
              <w:pStyle w:val="53"/>
            </w:pPr>
          </w:p>
        </w:tc>
        <w:tc>
          <w:tcPr>
            <w:tcW w:w="284" w:type="pct"/>
            <w:vMerge w:val="continue"/>
            <w:shd w:val="clear" w:color="auto" w:fill="auto"/>
            <w:vAlign w:val="center"/>
          </w:tcPr>
          <w:p>
            <w:pPr>
              <w:pStyle w:val="53"/>
            </w:pPr>
          </w:p>
        </w:tc>
        <w:tc>
          <w:tcPr>
            <w:tcW w:w="42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04" w:type="pct"/>
            <w:vMerge w:val="continue"/>
            <w:shd w:val="clear" w:color="auto" w:fill="auto"/>
            <w:vAlign w:val="center"/>
          </w:tcPr>
          <w:p>
            <w:pPr>
              <w:pStyle w:val="53"/>
            </w:pPr>
          </w:p>
        </w:tc>
        <w:tc>
          <w:tcPr>
            <w:tcW w:w="34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70"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4" w:type="pct"/>
            <w:vMerge w:val="continue"/>
            <w:shd w:val="clear" w:color="auto" w:fill="auto"/>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9" w:type="pct"/>
            <w:vMerge w:val="restart"/>
            <w:shd w:val="clear" w:color="auto" w:fill="auto"/>
            <w:vAlign w:val="center"/>
          </w:tcPr>
          <w:p>
            <w:pPr>
              <w:pStyle w:val="53"/>
            </w:pPr>
            <w:r>
              <w:t>临时工程区（主体工程重叠区）</w:t>
            </w:r>
          </w:p>
        </w:tc>
        <w:tc>
          <w:tcPr>
            <w:tcW w:w="414" w:type="pct"/>
            <w:shd w:val="clear" w:color="auto" w:fill="auto"/>
            <w:vAlign w:val="center"/>
          </w:tcPr>
          <w:p>
            <w:pPr>
              <w:pStyle w:val="53"/>
            </w:pPr>
            <w:r>
              <w:t>施工便道区</w:t>
            </w:r>
          </w:p>
        </w:tc>
        <w:tc>
          <w:tcPr>
            <w:tcW w:w="344" w:type="pct"/>
            <w:shd w:val="clear" w:color="auto" w:fill="auto"/>
            <w:vAlign w:val="center"/>
          </w:tcPr>
          <w:p>
            <w:pPr>
              <w:pStyle w:val="53"/>
            </w:pPr>
            <w:r>
              <w:t>　</w:t>
            </w:r>
          </w:p>
        </w:tc>
        <w:tc>
          <w:tcPr>
            <w:tcW w:w="264" w:type="pct"/>
            <w:shd w:val="clear" w:color="auto" w:fill="auto"/>
            <w:vAlign w:val="center"/>
          </w:tcPr>
          <w:p>
            <w:pPr>
              <w:pStyle w:val="53"/>
            </w:pPr>
            <w:r>
              <w:t>　</w:t>
            </w:r>
          </w:p>
        </w:tc>
        <w:tc>
          <w:tcPr>
            <w:tcW w:w="269" w:type="pct"/>
            <w:shd w:val="clear" w:color="auto" w:fill="auto"/>
            <w:vAlign w:val="center"/>
          </w:tcPr>
          <w:p>
            <w:pPr>
              <w:pStyle w:val="53"/>
            </w:pPr>
            <w:r>
              <w:t>　</w:t>
            </w:r>
          </w:p>
        </w:tc>
        <w:tc>
          <w:tcPr>
            <w:tcW w:w="339" w:type="pct"/>
            <w:shd w:val="clear" w:color="auto" w:fill="auto"/>
            <w:vAlign w:val="center"/>
          </w:tcPr>
          <w:p>
            <w:pPr>
              <w:pStyle w:val="53"/>
            </w:pPr>
            <w:r>
              <w:t>　</w:t>
            </w:r>
          </w:p>
        </w:tc>
        <w:tc>
          <w:tcPr>
            <w:tcW w:w="284" w:type="pct"/>
            <w:shd w:val="clear" w:color="auto" w:fill="auto"/>
            <w:vAlign w:val="center"/>
          </w:tcPr>
          <w:p>
            <w:pPr>
              <w:pStyle w:val="53"/>
            </w:pPr>
            <w:r>
              <w:t>　</w:t>
            </w:r>
          </w:p>
        </w:tc>
        <w:tc>
          <w:tcPr>
            <w:tcW w:w="424" w:type="pct"/>
            <w:shd w:val="clear" w:color="auto" w:fill="auto"/>
            <w:vAlign w:val="center"/>
          </w:tcPr>
          <w:p>
            <w:pPr>
              <w:pStyle w:val="53"/>
            </w:pPr>
            <w:r>
              <w:t>　</w:t>
            </w:r>
          </w:p>
        </w:tc>
        <w:tc>
          <w:tcPr>
            <w:tcW w:w="269" w:type="pct"/>
            <w:shd w:val="clear" w:color="auto" w:fill="auto"/>
            <w:vAlign w:val="center"/>
          </w:tcPr>
          <w:p>
            <w:pPr>
              <w:pStyle w:val="53"/>
            </w:pPr>
            <w:r>
              <w:t>　</w:t>
            </w:r>
          </w:p>
        </w:tc>
        <w:tc>
          <w:tcPr>
            <w:tcW w:w="304" w:type="pct"/>
            <w:shd w:val="clear" w:color="auto" w:fill="auto"/>
            <w:vAlign w:val="center"/>
          </w:tcPr>
          <w:p>
            <w:pPr>
              <w:pStyle w:val="53"/>
            </w:pPr>
            <w:r>
              <w:t>　</w:t>
            </w:r>
          </w:p>
        </w:tc>
        <w:tc>
          <w:tcPr>
            <w:tcW w:w="349" w:type="pct"/>
            <w:shd w:val="clear" w:color="auto" w:fill="auto"/>
            <w:vAlign w:val="center"/>
          </w:tcPr>
          <w:p>
            <w:pPr>
              <w:pStyle w:val="53"/>
            </w:pPr>
            <w:r>
              <w:t>　</w:t>
            </w:r>
          </w:p>
        </w:tc>
        <w:tc>
          <w:tcPr>
            <w:tcW w:w="269" w:type="pct"/>
            <w:shd w:val="clear" w:color="auto" w:fill="auto"/>
            <w:vAlign w:val="center"/>
          </w:tcPr>
          <w:p>
            <w:pPr>
              <w:pStyle w:val="53"/>
            </w:pPr>
            <w:r>
              <w:t>　</w:t>
            </w:r>
          </w:p>
        </w:tc>
        <w:tc>
          <w:tcPr>
            <w:tcW w:w="269" w:type="pct"/>
            <w:shd w:val="clear" w:color="auto" w:fill="auto"/>
            <w:vAlign w:val="center"/>
          </w:tcPr>
          <w:p>
            <w:pPr>
              <w:pStyle w:val="53"/>
            </w:pPr>
            <w:r>
              <w:t>　</w:t>
            </w:r>
          </w:p>
        </w:tc>
        <w:tc>
          <w:tcPr>
            <w:tcW w:w="270" w:type="pct"/>
            <w:shd w:val="clear" w:color="auto" w:fill="auto"/>
            <w:vAlign w:val="center"/>
          </w:tcPr>
          <w:p>
            <w:pPr>
              <w:pStyle w:val="53"/>
            </w:pPr>
            <w:r>
              <w:t>　</w:t>
            </w:r>
          </w:p>
        </w:tc>
        <w:tc>
          <w:tcPr>
            <w:tcW w:w="269" w:type="pct"/>
            <w:shd w:val="clear" w:color="auto" w:fill="auto"/>
            <w:vAlign w:val="center"/>
          </w:tcPr>
          <w:p>
            <w:pPr>
              <w:pStyle w:val="53"/>
            </w:pPr>
            <w:r>
              <w:t>920</w:t>
            </w:r>
          </w:p>
        </w:tc>
        <w:tc>
          <w:tcPr>
            <w:tcW w:w="264" w:type="pct"/>
            <w:shd w:val="clear" w:color="auto" w:fill="auto"/>
          </w:tcPr>
          <w:p>
            <w:pPr>
              <w:pStyle w:val="53"/>
            </w:pPr>
            <w:r>
              <w:t>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continue"/>
            <w:shd w:val="clear" w:color="auto" w:fill="auto"/>
            <w:vAlign w:val="center"/>
          </w:tcPr>
          <w:p>
            <w:pPr>
              <w:pStyle w:val="53"/>
            </w:pPr>
          </w:p>
        </w:tc>
        <w:tc>
          <w:tcPr>
            <w:tcW w:w="414" w:type="pct"/>
            <w:vMerge w:val="restart"/>
            <w:shd w:val="clear" w:color="auto" w:fill="auto"/>
            <w:vAlign w:val="center"/>
          </w:tcPr>
          <w:p>
            <w:pPr>
              <w:pStyle w:val="53"/>
            </w:pPr>
            <w:r>
              <w:t>施工场地区</w:t>
            </w:r>
          </w:p>
        </w:tc>
        <w:tc>
          <w:tcPr>
            <w:tcW w:w="344" w:type="pct"/>
            <w:vMerge w:val="restart"/>
            <w:shd w:val="clear" w:color="auto" w:fill="auto"/>
            <w:vAlign w:val="center"/>
          </w:tcPr>
          <w:p>
            <w:pPr>
              <w:pStyle w:val="53"/>
            </w:pPr>
            <w:r>
              <w:t>1</w:t>
            </w:r>
          </w:p>
        </w:tc>
        <w:tc>
          <w:tcPr>
            <w:tcW w:w="264" w:type="pct"/>
            <w:vMerge w:val="restart"/>
            <w:shd w:val="clear" w:color="auto" w:fill="auto"/>
            <w:vAlign w:val="center"/>
          </w:tcPr>
          <w:p>
            <w:pPr>
              <w:pStyle w:val="53"/>
            </w:pPr>
            <w:r>
              <w:t xml:space="preserve">7 </w:t>
            </w:r>
          </w:p>
        </w:tc>
        <w:tc>
          <w:tcPr>
            <w:tcW w:w="269" w:type="pct"/>
            <w:vMerge w:val="restart"/>
            <w:shd w:val="clear" w:color="auto" w:fill="auto"/>
            <w:vAlign w:val="center"/>
          </w:tcPr>
          <w:p>
            <w:pPr>
              <w:pStyle w:val="53"/>
            </w:pPr>
            <w:r>
              <w:t xml:space="preserve">3 </w:t>
            </w:r>
          </w:p>
        </w:tc>
        <w:tc>
          <w:tcPr>
            <w:tcW w:w="339" w:type="pct"/>
            <w:vMerge w:val="restart"/>
            <w:shd w:val="clear" w:color="auto" w:fill="auto"/>
            <w:vAlign w:val="center"/>
          </w:tcPr>
          <w:p>
            <w:pPr>
              <w:pStyle w:val="53"/>
            </w:pPr>
            <w:r>
              <w:t xml:space="preserve">6 </w:t>
            </w:r>
          </w:p>
        </w:tc>
        <w:tc>
          <w:tcPr>
            <w:tcW w:w="284" w:type="pct"/>
            <w:vMerge w:val="restart"/>
            <w:shd w:val="clear" w:color="auto" w:fill="auto"/>
            <w:vAlign w:val="center"/>
          </w:tcPr>
          <w:p>
            <w:pPr>
              <w:pStyle w:val="53"/>
            </w:pPr>
            <w:r>
              <w:t xml:space="preserve">1 </w:t>
            </w:r>
          </w:p>
        </w:tc>
        <w:tc>
          <w:tcPr>
            <w:tcW w:w="424" w:type="pct"/>
            <w:vMerge w:val="restart"/>
            <w:shd w:val="clear" w:color="auto" w:fill="auto"/>
            <w:vAlign w:val="center"/>
          </w:tcPr>
          <w:p>
            <w:pPr>
              <w:pStyle w:val="53"/>
            </w:pPr>
            <w:r>
              <w:t>220</w:t>
            </w:r>
          </w:p>
        </w:tc>
        <w:tc>
          <w:tcPr>
            <w:tcW w:w="269" w:type="pct"/>
            <w:vMerge w:val="restart"/>
            <w:shd w:val="clear" w:color="auto" w:fill="auto"/>
            <w:vAlign w:val="center"/>
          </w:tcPr>
          <w:p>
            <w:pPr>
              <w:pStyle w:val="53"/>
            </w:pPr>
            <w:r>
              <w:t xml:space="preserve">40 </w:t>
            </w:r>
          </w:p>
        </w:tc>
        <w:tc>
          <w:tcPr>
            <w:tcW w:w="304" w:type="pct"/>
            <w:vMerge w:val="restart"/>
            <w:shd w:val="clear" w:color="auto" w:fill="auto"/>
            <w:vAlign w:val="center"/>
          </w:tcPr>
          <w:p>
            <w:pPr>
              <w:pStyle w:val="53"/>
            </w:pPr>
            <w:r>
              <w:t>　</w:t>
            </w:r>
          </w:p>
        </w:tc>
        <w:tc>
          <w:tcPr>
            <w:tcW w:w="349"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　</w:t>
            </w:r>
          </w:p>
        </w:tc>
        <w:tc>
          <w:tcPr>
            <w:tcW w:w="270" w:type="pct"/>
            <w:vMerge w:val="restart"/>
            <w:shd w:val="clear" w:color="auto" w:fill="auto"/>
            <w:vAlign w:val="center"/>
          </w:tcPr>
          <w:p>
            <w:pPr>
              <w:pStyle w:val="53"/>
            </w:pPr>
            <w:r>
              <w:t>　</w:t>
            </w:r>
          </w:p>
        </w:tc>
        <w:tc>
          <w:tcPr>
            <w:tcW w:w="269" w:type="pct"/>
            <w:vMerge w:val="restart"/>
            <w:shd w:val="clear" w:color="auto" w:fill="auto"/>
            <w:vAlign w:val="center"/>
          </w:tcPr>
          <w:p>
            <w:pPr>
              <w:pStyle w:val="53"/>
            </w:pPr>
            <w:r>
              <w:t>500</w:t>
            </w:r>
          </w:p>
        </w:tc>
        <w:tc>
          <w:tcPr>
            <w:tcW w:w="264" w:type="pct"/>
            <w:vMerge w:val="restart"/>
            <w:shd w:val="clear" w:color="auto" w:fill="auto"/>
          </w:tcPr>
          <w:p>
            <w:pPr>
              <w:pStyle w:val="53"/>
            </w:pPr>
            <w:r>
              <w:t>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continue"/>
            <w:shd w:val="clear" w:color="auto" w:fill="auto"/>
            <w:vAlign w:val="center"/>
          </w:tcPr>
          <w:p>
            <w:pPr>
              <w:pStyle w:val="53"/>
            </w:pPr>
          </w:p>
        </w:tc>
        <w:tc>
          <w:tcPr>
            <w:tcW w:w="414" w:type="pct"/>
            <w:vMerge w:val="continue"/>
            <w:shd w:val="clear" w:color="auto" w:fill="auto"/>
            <w:vAlign w:val="center"/>
          </w:tcPr>
          <w:p>
            <w:pPr>
              <w:pStyle w:val="53"/>
            </w:pPr>
          </w:p>
        </w:tc>
        <w:tc>
          <w:tcPr>
            <w:tcW w:w="344" w:type="pct"/>
            <w:vMerge w:val="continue"/>
            <w:shd w:val="clear" w:color="auto" w:fill="auto"/>
            <w:vAlign w:val="center"/>
          </w:tcPr>
          <w:p>
            <w:pPr>
              <w:pStyle w:val="53"/>
            </w:pPr>
          </w:p>
        </w:tc>
        <w:tc>
          <w:tcPr>
            <w:tcW w:w="26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39" w:type="pct"/>
            <w:vMerge w:val="continue"/>
            <w:shd w:val="clear" w:color="auto" w:fill="auto"/>
            <w:vAlign w:val="center"/>
          </w:tcPr>
          <w:p>
            <w:pPr>
              <w:pStyle w:val="53"/>
            </w:pPr>
          </w:p>
        </w:tc>
        <w:tc>
          <w:tcPr>
            <w:tcW w:w="284" w:type="pct"/>
            <w:vMerge w:val="continue"/>
            <w:shd w:val="clear" w:color="auto" w:fill="auto"/>
            <w:vAlign w:val="center"/>
          </w:tcPr>
          <w:p>
            <w:pPr>
              <w:pStyle w:val="53"/>
            </w:pPr>
          </w:p>
        </w:tc>
        <w:tc>
          <w:tcPr>
            <w:tcW w:w="42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04" w:type="pct"/>
            <w:vMerge w:val="continue"/>
            <w:shd w:val="clear" w:color="auto" w:fill="auto"/>
            <w:vAlign w:val="center"/>
          </w:tcPr>
          <w:p>
            <w:pPr>
              <w:pStyle w:val="53"/>
            </w:pPr>
          </w:p>
        </w:tc>
        <w:tc>
          <w:tcPr>
            <w:tcW w:w="34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70"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4" w:type="pct"/>
            <w:vMerge w:val="continue"/>
            <w:shd w:val="clear" w:color="auto" w:fill="auto"/>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99" w:type="pct"/>
            <w:vMerge w:val="continue"/>
            <w:shd w:val="clear" w:color="auto" w:fill="auto"/>
            <w:vAlign w:val="center"/>
          </w:tcPr>
          <w:p>
            <w:pPr>
              <w:pStyle w:val="53"/>
            </w:pPr>
          </w:p>
        </w:tc>
        <w:tc>
          <w:tcPr>
            <w:tcW w:w="414" w:type="pct"/>
            <w:shd w:val="clear" w:color="auto" w:fill="auto"/>
            <w:vAlign w:val="center"/>
          </w:tcPr>
          <w:p>
            <w:pPr>
              <w:pStyle w:val="53"/>
            </w:pPr>
            <w:r>
              <w:t>临时堆土区</w:t>
            </w:r>
          </w:p>
        </w:tc>
        <w:tc>
          <w:tcPr>
            <w:tcW w:w="344" w:type="pct"/>
            <w:shd w:val="clear" w:color="auto" w:fill="auto"/>
            <w:vAlign w:val="center"/>
          </w:tcPr>
          <w:p>
            <w:pPr>
              <w:pStyle w:val="53"/>
            </w:pPr>
            <w:r>
              <w:t xml:space="preserve">1 </w:t>
            </w:r>
          </w:p>
        </w:tc>
        <w:tc>
          <w:tcPr>
            <w:tcW w:w="264" w:type="pct"/>
            <w:shd w:val="clear" w:color="auto" w:fill="auto"/>
            <w:vAlign w:val="center"/>
          </w:tcPr>
          <w:p>
            <w:pPr>
              <w:pStyle w:val="53"/>
            </w:pPr>
            <w:r>
              <w:t xml:space="preserve">7 </w:t>
            </w:r>
          </w:p>
        </w:tc>
        <w:tc>
          <w:tcPr>
            <w:tcW w:w="269" w:type="pct"/>
            <w:shd w:val="clear" w:color="auto" w:fill="auto"/>
            <w:vAlign w:val="center"/>
          </w:tcPr>
          <w:p>
            <w:pPr>
              <w:pStyle w:val="53"/>
            </w:pPr>
            <w:r>
              <w:t xml:space="preserve">3 </w:t>
            </w:r>
          </w:p>
        </w:tc>
        <w:tc>
          <w:tcPr>
            <w:tcW w:w="339" w:type="pct"/>
            <w:shd w:val="clear" w:color="auto" w:fill="auto"/>
            <w:vAlign w:val="center"/>
          </w:tcPr>
          <w:p>
            <w:pPr>
              <w:pStyle w:val="53"/>
            </w:pPr>
            <w:r>
              <w:t xml:space="preserve">6 </w:t>
            </w:r>
          </w:p>
        </w:tc>
        <w:tc>
          <w:tcPr>
            <w:tcW w:w="284" w:type="pct"/>
            <w:shd w:val="clear" w:color="auto" w:fill="auto"/>
            <w:vAlign w:val="center"/>
          </w:tcPr>
          <w:p>
            <w:pPr>
              <w:pStyle w:val="53"/>
            </w:pPr>
            <w:r>
              <w:t xml:space="preserve">1 </w:t>
            </w:r>
          </w:p>
        </w:tc>
        <w:tc>
          <w:tcPr>
            <w:tcW w:w="424" w:type="pct"/>
            <w:shd w:val="clear" w:color="auto" w:fill="auto"/>
            <w:vAlign w:val="center"/>
          </w:tcPr>
          <w:p>
            <w:pPr>
              <w:pStyle w:val="53"/>
            </w:pPr>
            <w:r>
              <w:t>470</w:t>
            </w:r>
          </w:p>
        </w:tc>
        <w:tc>
          <w:tcPr>
            <w:tcW w:w="269" w:type="pct"/>
            <w:shd w:val="clear" w:color="auto" w:fill="auto"/>
            <w:vAlign w:val="center"/>
          </w:tcPr>
          <w:p>
            <w:pPr>
              <w:pStyle w:val="53"/>
            </w:pPr>
            <w:r>
              <w:t xml:space="preserve">85 </w:t>
            </w:r>
          </w:p>
        </w:tc>
        <w:tc>
          <w:tcPr>
            <w:tcW w:w="304" w:type="pct"/>
            <w:shd w:val="clear" w:color="auto" w:fill="auto"/>
            <w:vAlign w:val="center"/>
          </w:tcPr>
          <w:p>
            <w:pPr>
              <w:pStyle w:val="53"/>
            </w:pPr>
            <w:r>
              <w:t>　</w:t>
            </w:r>
          </w:p>
        </w:tc>
        <w:tc>
          <w:tcPr>
            <w:tcW w:w="349" w:type="pct"/>
            <w:shd w:val="clear" w:color="auto" w:fill="auto"/>
            <w:vAlign w:val="center"/>
          </w:tcPr>
          <w:p>
            <w:pPr>
              <w:pStyle w:val="53"/>
            </w:pPr>
            <w:r>
              <w:t>　</w:t>
            </w:r>
          </w:p>
        </w:tc>
        <w:tc>
          <w:tcPr>
            <w:tcW w:w="269" w:type="pct"/>
            <w:shd w:val="clear" w:color="auto" w:fill="auto"/>
            <w:vAlign w:val="center"/>
          </w:tcPr>
          <w:p>
            <w:pPr>
              <w:pStyle w:val="53"/>
            </w:pPr>
            <w:r>
              <w:t xml:space="preserve"> </w:t>
            </w:r>
          </w:p>
        </w:tc>
        <w:tc>
          <w:tcPr>
            <w:tcW w:w="269" w:type="pct"/>
            <w:shd w:val="clear" w:color="auto" w:fill="auto"/>
            <w:vAlign w:val="center"/>
          </w:tcPr>
          <w:p>
            <w:pPr>
              <w:pStyle w:val="53"/>
            </w:pPr>
            <w:r>
              <w:t>470</w:t>
            </w:r>
          </w:p>
        </w:tc>
        <w:tc>
          <w:tcPr>
            <w:tcW w:w="270" w:type="pct"/>
            <w:shd w:val="clear" w:color="auto" w:fill="auto"/>
            <w:vAlign w:val="center"/>
          </w:tcPr>
          <w:p>
            <w:pPr>
              <w:pStyle w:val="53"/>
            </w:pPr>
            <w:r>
              <w:t>11000</w:t>
            </w:r>
          </w:p>
        </w:tc>
        <w:tc>
          <w:tcPr>
            <w:tcW w:w="269" w:type="pct"/>
            <w:shd w:val="clear" w:color="auto" w:fill="auto"/>
            <w:vAlign w:val="center"/>
          </w:tcPr>
          <w:p>
            <w:pPr>
              <w:pStyle w:val="53"/>
            </w:pPr>
            <w:r>
              <w:t>　</w:t>
            </w:r>
          </w:p>
        </w:tc>
        <w:tc>
          <w:tcPr>
            <w:tcW w:w="264" w:type="pct"/>
            <w:shd w:val="clear" w:color="auto" w:fill="auto"/>
          </w:tcPr>
          <w:p>
            <w:pPr>
              <w:pStyle w:val="53"/>
            </w:pPr>
            <w:r>
              <w:t>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restart"/>
            <w:shd w:val="clear" w:color="auto" w:fill="auto"/>
            <w:vAlign w:val="center"/>
          </w:tcPr>
          <w:p>
            <w:pPr>
              <w:pStyle w:val="53"/>
            </w:pPr>
            <w:r>
              <w:t>合计</w:t>
            </w:r>
          </w:p>
        </w:tc>
        <w:tc>
          <w:tcPr>
            <w:tcW w:w="414" w:type="pct"/>
            <w:vMerge w:val="restart"/>
            <w:shd w:val="clear" w:color="auto" w:fill="auto"/>
            <w:vAlign w:val="center"/>
          </w:tcPr>
          <w:p>
            <w:pPr>
              <w:pStyle w:val="53"/>
            </w:pPr>
            <w:r>
              <w:t>　</w:t>
            </w:r>
          </w:p>
        </w:tc>
        <w:tc>
          <w:tcPr>
            <w:tcW w:w="344" w:type="pct"/>
            <w:vMerge w:val="restart"/>
            <w:shd w:val="clear" w:color="auto" w:fill="auto"/>
            <w:vAlign w:val="center"/>
          </w:tcPr>
          <w:p>
            <w:pPr>
              <w:pStyle w:val="53"/>
            </w:pPr>
            <w:r>
              <w:t xml:space="preserve">19 </w:t>
            </w:r>
          </w:p>
        </w:tc>
        <w:tc>
          <w:tcPr>
            <w:tcW w:w="264" w:type="pct"/>
            <w:vMerge w:val="restart"/>
            <w:shd w:val="clear" w:color="auto" w:fill="auto"/>
            <w:vAlign w:val="center"/>
          </w:tcPr>
          <w:p>
            <w:pPr>
              <w:pStyle w:val="53"/>
            </w:pPr>
            <w:r>
              <w:t xml:space="preserve">133 </w:t>
            </w:r>
          </w:p>
        </w:tc>
        <w:tc>
          <w:tcPr>
            <w:tcW w:w="269" w:type="pct"/>
            <w:vMerge w:val="restart"/>
            <w:shd w:val="clear" w:color="auto" w:fill="auto"/>
            <w:vAlign w:val="center"/>
          </w:tcPr>
          <w:p>
            <w:pPr>
              <w:pStyle w:val="53"/>
            </w:pPr>
            <w:r>
              <w:t xml:space="preserve">50 </w:t>
            </w:r>
          </w:p>
        </w:tc>
        <w:tc>
          <w:tcPr>
            <w:tcW w:w="339" w:type="pct"/>
            <w:vMerge w:val="restart"/>
            <w:shd w:val="clear" w:color="auto" w:fill="auto"/>
            <w:vAlign w:val="center"/>
          </w:tcPr>
          <w:p>
            <w:pPr>
              <w:pStyle w:val="53"/>
            </w:pPr>
            <w:r>
              <w:t xml:space="preserve">114 </w:t>
            </w:r>
          </w:p>
        </w:tc>
        <w:tc>
          <w:tcPr>
            <w:tcW w:w="284" w:type="pct"/>
            <w:vMerge w:val="restart"/>
            <w:shd w:val="clear" w:color="auto" w:fill="auto"/>
            <w:vAlign w:val="center"/>
          </w:tcPr>
          <w:p>
            <w:pPr>
              <w:pStyle w:val="53"/>
            </w:pPr>
            <w:r>
              <w:t xml:space="preserve">22 </w:t>
            </w:r>
          </w:p>
        </w:tc>
        <w:tc>
          <w:tcPr>
            <w:tcW w:w="424" w:type="pct"/>
            <w:vMerge w:val="restart"/>
            <w:shd w:val="clear" w:color="auto" w:fill="auto"/>
            <w:vAlign w:val="center"/>
          </w:tcPr>
          <w:p>
            <w:pPr>
              <w:pStyle w:val="53"/>
            </w:pPr>
            <w:r>
              <w:t xml:space="preserve">2680 </w:t>
            </w:r>
          </w:p>
        </w:tc>
        <w:tc>
          <w:tcPr>
            <w:tcW w:w="269" w:type="pct"/>
            <w:vMerge w:val="restart"/>
            <w:shd w:val="clear" w:color="auto" w:fill="auto"/>
            <w:vAlign w:val="center"/>
          </w:tcPr>
          <w:p>
            <w:pPr>
              <w:pStyle w:val="53"/>
            </w:pPr>
            <w:r>
              <w:t xml:space="preserve">1658 </w:t>
            </w:r>
          </w:p>
        </w:tc>
        <w:tc>
          <w:tcPr>
            <w:tcW w:w="304" w:type="pct"/>
            <w:vMerge w:val="restart"/>
            <w:shd w:val="clear" w:color="auto" w:fill="auto"/>
            <w:vAlign w:val="center"/>
          </w:tcPr>
          <w:p>
            <w:pPr>
              <w:pStyle w:val="53"/>
            </w:pPr>
            <w:r>
              <w:t xml:space="preserve">499 </w:t>
            </w:r>
          </w:p>
        </w:tc>
        <w:tc>
          <w:tcPr>
            <w:tcW w:w="349" w:type="pct"/>
            <w:vMerge w:val="restart"/>
            <w:shd w:val="clear" w:color="auto" w:fill="auto"/>
            <w:vAlign w:val="center"/>
          </w:tcPr>
          <w:p>
            <w:pPr>
              <w:pStyle w:val="53"/>
            </w:pPr>
            <w:r>
              <w:t xml:space="preserve">2992 </w:t>
            </w:r>
          </w:p>
        </w:tc>
        <w:tc>
          <w:tcPr>
            <w:tcW w:w="269" w:type="pct"/>
            <w:vMerge w:val="restart"/>
            <w:shd w:val="clear" w:color="auto" w:fill="auto"/>
            <w:vAlign w:val="center"/>
          </w:tcPr>
          <w:p>
            <w:pPr>
              <w:pStyle w:val="53"/>
            </w:pPr>
            <w:r>
              <w:t xml:space="preserve">247 </w:t>
            </w:r>
          </w:p>
        </w:tc>
        <w:tc>
          <w:tcPr>
            <w:tcW w:w="269" w:type="pct"/>
            <w:vMerge w:val="restart"/>
            <w:shd w:val="clear" w:color="auto" w:fill="auto"/>
            <w:vAlign w:val="center"/>
          </w:tcPr>
          <w:p>
            <w:pPr>
              <w:pStyle w:val="53"/>
            </w:pPr>
            <w:r>
              <w:t>470</w:t>
            </w:r>
          </w:p>
        </w:tc>
        <w:tc>
          <w:tcPr>
            <w:tcW w:w="270" w:type="pct"/>
            <w:vMerge w:val="restart"/>
            <w:shd w:val="clear" w:color="auto" w:fill="auto"/>
            <w:vAlign w:val="center"/>
          </w:tcPr>
          <w:p>
            <w:pPr>
              <w:pStyle w:val="53"/>
            </w:pPr>
            <w:r>
              <w:t>42000</w:t>
            </w:r>
          </w:p>
        </w:tc>
        <w:tc>
          <w:tcPr>
            <w:tcW w:w="269" w:type="pct"/>
            <w:vMerge w:val="restart"/>
            <w:shd w:val="clear" w:color="auto" w:fill="auto"/>
            <w:vAlign w:val="center"/>
          </w:tcPr>
          <w:p>
            <w:pPr>
              <w:pStyle w:val="53"/>
            </w:pPr>
            <w:r>
              <w:t>1420</w:t>
            </w:r>
          </w:p>
        </w:tc>
        <w:tc>
          <w:tcPr>
            <w:tcW w:w="264" w:type="pct"/>
            <w:vMerge w:val="restart"/>
            <w:shd w:val="clear" w:color="auto" w:fill="auto"/>
            <w:vAlign w:val="center"/>
          </w:tcPr>
          <w:p>
            <w:pPr>
              <w:pStyle w:val="53"/>
            </w:pPr>
            <w:r>
              <w:t>10.62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9" w:type="pct"/>
            <w:vMerge w:val="continue"/>
            <w:shd w:val="clear" w:color="auto" w:fill="auto"/>
            <w:vAlign w:val="center"/>
          </w:tcPr>
          <w:p>
            <w:pPr>
              <w:pStyle w:val="53"/>
            </w:pPr>
          </w:p>
        </w:tc>
        <w:tc>
          <w:tcPr>
            <w:tcW w:w="414" w:type="pct"/>
            <w:vMerge w:val="continue"/>
            <w:shd w:val="clear" w:color="auto" w:fill="auto"/>
            <w:vAlign w:val="center"/>
          </w:tcPr>
          <w:p>
            <w:pPr>
              <w:pStyle w:val="53"/>
            </w:pPr>
          </w:p>
        </w:tc>
        <w:tc>
          <w:tcPr>
            <w:tcW w:w="344" w:type="pct"/>
            <w:vMerge w:val="continue"/>
            <w:shd w:val="clear" w:color="auto" w:fill="auto"/>
            <w:vAlign w:val="center"/>
          </w:tcPr>
          <w:p>
            <w:pPr>
              <w:pStyle w:val="53"/>
            </w:pPr>
          </w:p>
        </w:tc>
        <w:tc>
          <w:tcPr>
            <w:tcW w:w="26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39" w:type="pct"/>
            <w:vMerge w:val="continue"/>
            <w:shd w:val="clear" w:color="auto" w:fill="auto"/>
            <w:vAlign w:val="center"/>
          </w:tcPr>
          <w:p>
            <w:pPr>
              <w:pStyle w:val="53"/>
            </w:pPr>
          </w:p>
        </w:tc>
        <w:tc>
          <w:tcPr>
            <w:tcW w:w="284" w:type="pct"/>
            <w:vMerge w:val="continue"/>
            <w:shd w:val="clear" w:color="auto" w:fill="auto"/>
            <w:vAlign w:val="center"/>
          </w:tcPr>
          <w:p>
            <w:pPr>
              <w:pStyle w:val="53"/>
            </w:pPr>
          </w:p>
        </w:tc>
        <w:tc>
          <w:tcPr>
            <w:tcW w:w="424"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304" w:type="pct"/>
            <w:vMerge w:val="continue"/>
            <w:shd w:val="clear" w:color="auto" w:fill="auto"/>
            <w:vAlign w:val="center"/>
          </w:tcPr>
          <w:p>
            <w:pPr>
              <w:pStyle w:val="53"/>
            </w:pPr>
          </w:p>
        </w:tc>
        <w:tc>
          <w:tcPr>
            <w:tcW w:w="34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70" w:type="pct"/>
            <w:vMerge w:val="continue"/>
            <w:shd w:val="clear" w:color="auto" w:fill="auto"/>
            <w:vAlign w:val="center"/>
          </w:tcPr>
          <w:p>
            <w:pPr>
              <w:pStyle w:val="53"/>
            </w:pPr>
          </w:p>
        </w:tc>
        <w:tc>
          <w:tcPr>
            <w:tcW w:w="269" w:type="pct"/>
            <w:vMerge w:val="continue"/>
            <w:shd w:val="clear" w:color="auto" w:fill="auto"/>
            <w:vAlign w:val="center"/>
          </w:tcPr>
          <w:p>
            <w:pPr>
              <w:pStyle w:val="53"/>
            </w:pPr>
          </w:p>
        </w:tc>
        <w:tc>
          <w:tcPr>
            <w:tcW w:w="264" w:type="pct"/>
            <w:vMerge w:val="continue"/>
            <w:shd w:val="clear" w:color="auto" w:fill="auto"/>
            <w:vAlign w:val="center"/>
          </w:tcPr>
          <w:p>
            <w:pPr>
              <w:pStyle w:val="53"/>
            </w:pPr>
          </w:p>
        </w:tc>
      </w:tr>
    </w:tbl>
    <w:p>
      <w:pPr>
        <w:pStyle w:val="2"/>
        <w:ind w:firstLine="482"/>
        <w:jc w:val="center"/>
        <w:rPr>
          <w:b/>
          <w:color w:val="000000"/>
        </w:rPr>
      </w:pPr>
    </w:p>
    <w:p>
      <w:pPr>
        <w:pStyle w:val="2"/>
        <w:ind w:firstLine="480"/>
        <w:sectPr>
          <w:pgSz w:w="16838" w:h="11906" w:orient="landscape"/>
          <w:pgMar w:top="1587" w:right="1587" w:bottom="1587" w:left="1587" w:header="567" w:footer="567" w:gutter="0"/>
          <w:cols w:space="720" w:num="1"/>
          <w:docGrid w:type="lines" w:linePitch="312" w:charSpace="0"/>
        </w:sectPr>
      </w:pPr>
    </w:p>
    <w:p>
      <w:pPr>
        <w:pStyle w:val="4"/>
        <w:ind w:firstLine="562"/>
      </w:pPr>
      <w:bookmarkStart w:id="47" w:name="_Toc7787"/>
      <w:r>
        <w:t>2.</w:t>
      </w:r>
      <w:r>
        <w:rPr>
          <w:rFonts w:hint="eastAsia"/>
        </w:rPr>
        <w:t>6水土保持投资</w:t>
      </w:r>
      <w:bookmarkEnd w:id="47"/>
    </w:p>
    <w:p>
      <w:pPr>
        <w:ind w:firstLine="480"/>
        <w:rPr>
          <w:rFonts w:cs="仿宋"/>
        </w:rPr>
      </w:pPr>
      <w:r>
        <w:rPr>
          <w:rFonts w:hint="eastAsia" w:cs="仿宋"/>
        </w:rPr>
        <w:t>根据武汉市洪山区水务局批复的《</w:t>
      </w:r>
      <w:r>
        <w:rPr>
          <w:rFonts w:hint="eastAsia" w:cs="仿宋"/>
          <w:lang w:val="zh-CN"/>
        </w:rPr>
        <w:t>楚天都市沁园建设项目</w:t>
      </w:r>
      <w:r>
        <w:rPr>
          <w:rFonts w:hint="eastAsia" w:cs="仿宋"/>
        </w:rPr>
        <w:t>水土保持方案报告书》（报批稿），本项目水土保持工程总投资2173.93万元，其中：工程措施556.70万元（主体工程措施466.60万元，新增工程措施90.10万元）；植物措施1316.00万元（主体工程植物措施1316.00万元），临时工程121.38万元（主体工程临时措施20.30万元，新增临时措施101.08万元）；独立费用132.53万元（新增）；预备费19.42万元（新增）；水土保持监测费55.06万元（新增）；水土保持补偿费27.90万元（新增）。</w:t>
      </w:r>
    </w:p>
    <w:p>
      <w:pPr>
        <w:pStyle w:val="4"/>
        <w:ind w:firstLine="562"/>
      </w:pPr>
      <w:bookmarkStart w:id="48" w:name="_Toc3369"/>
      <w:r>
        <w:t>2.</w:t>
      </w:r>
      <w:r>
        <w:rPr>
          <w:rFonts w:hint="eastAsia"/>
        </w:rPr>
        <w:t>7</w:t>
      </w:r>
      <w:r>
        <w:t>水土保持</w:t>
      </w:r>
      <w:r>
        <w:rPr>
          <w:rFonts w:hint="eastAsia"/>
        </w:rPr>
        <w:t>变更</w:t>
      </w:r>
      <w:bookmarkEnd w:id="48"/>
    </w:p>
    <w:p>
      <w:pPr>
        <w:ind w:firstLine="480"/>
        <w:rPr>
          <w:rFonts w:cs="仿宋"/>
        </w:rPr>
      </w:pPr>
      <w:r>
        <w:rPr>
          <w:rFonts w:hint="eastAsia" w:cs="仿宋"/>
        </w:rPr>
        <w:t>施工阶段，楚天都市沁园建设项目的工程规模、枢纽布置均未发生大的变化，弃渣场的类型和级别都未调整，土石方量无变化。本项目水土保持不存在重大变更。</w:t>
      </w:r>
    </w:p>
    <w:p>
      <w:pPr>
        <w:ind w:firstLine="422"/>
        <w:jc w:val="center"/>
        <w:rPr>
          <w:rFonts w:eastAsia="仿宋_GB2312"/>
          <w:b/>
          <w:sz w:val="21"/>
          <w:szCs w:val="21"/>
        </w:rPr>
      </w:pPr>
      <w:r>
        <w:rPr>
          <w:rFonts w:hint="eastAsia"/>
          <w:b/>
          <w:sz w:val="21"/>
          <w:szCs w:val="21"/>
        </w:rPr>
        <w:t xml:space="preserve">表2-5 </w:t>
      </w:r>
      <w:r>
        <w:rPr>
          <w:rFonts w:hint="eastAsia" w:eastAsia="仿宋_GB2312"/>
          <w:b/>
          <w:sz w:val="21"/>
          <w:szCs w:val="21"/>
        </w:rPr>
        <w:t>与《水利部生产建设项目水土保持方案变更管理规定（试行）》有关规定的</w:t>
      </w:r>
    </w:p>
    <w:p>
      <w:pPr>
        <w:ind w:firstLine="422"/>
        <w:jc w:val="center"/>
        <w:rPr>
          <w:rFonts w:cs="仿宋"/>
          <w:sz w:val="21"/>
          <w:szCs w:val="21"/>
        </w:rPr>
      </w:pPr>
      <w:r>
        <w:rPr>
          <w:rFonts w:hint="eastAsia" w:eastAsia="仿宋_GB2312"/>
          <w:b/>
          <w:sz w:val="21"/>
          <w:szCs w:val="21"/>
        </w:rPr>
        <w:t>相符性分析</w:t>
      </w:r>
    </w:p>
    <w:tbl>
      <w:tblPr>
        <w:tblStyle w:val="23"/>
        <w:tblW w:w="87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4045"/>
        <w:gridCol w:w="3215"/>
        <w:gridCol w:w="7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blHeader/>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序号</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lang w:val="zh-CN"/>
              </w:rPr>
            </w:pPr>
            <w:r>
              <w:rPr>
                <w:rFonts w:hint="eastAsia" w:eastAsia="仿宋_GB2312"/>
                <w:sz w:val="21"/>
                <w:szCs w:val="21"/>
                <w:lang w:val="zh-CN"/>
              </w:rPr>
              <w:t>《水利部生产建设项目水土保持方案变更管理规定（试行）》（办水保〔2016〕65号）</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本工程情况</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第三条</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水土保持方案经批准后，生产建设项目地点、规模发生重大变化，有下列情形之一的，生产建设单位应当补充或者修改水土保持方案，报水利部审批。</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（一〉</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涉及国家级和省级水土流失重点预防区或者重点治理区的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工程位于洪山区，所在区域属武汉市人民政府《关于划分水土流失重点防治区的通告》的重点预防区</w:t>
            </w:r>
            <w:r>
              <w:rPr>
                <w:rFonts w:hint="eastAsia"/>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rPr>
            </w:pPr>
            <w:r>
              <w:rPr>
                <w:rFonts w:hint="eastAsia" w:eastAsia="仿宋_GB2312"/>
                <w:bCs/>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（二〉</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水土流失防治责任范围增加30%以上的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lang w:val="zh-CN"/>
              </w:rPr>
            </w:pPr>
            <w:r>
              <w:rPr>
                <w:rFonts w:hint="eastAsia" w:eastAsia="仿宋_GB2312"/>
                <w:sz w:val="21"/>
                <w:szCs w:val="21"/>
              </w:rPr>
              <w:t>本项目水土流失防治责任范围19.91hm</w:t>
            </w:r>
            <w:r>
              <w:rPr>
                <w:rFonts w:hint="eastAsia" w:eastAsia="仿宋_GB2312"/>
                <w:sz w:val="21"/>
                <w:szCs w:val="21"/>
                <w:vertAlign w:val="superscript"/>
              </w:rPr>
              <w:t>2</w:t>
            </w:r>
            <w:r>
              <w:rPr>
                <w:rFonts w:hint="eastAsia" w:eastAsia="仿宋_GB2312"/>
                <w:sz w:val="21"/>
                <w:szCs w:val="21"/>
              </w:rPr>
              <w:t>，较原设计19.91hm</w:t>
            </w:r>
            <w:r>
              <w:rPr>
                <w:rFonts w:hint="eastAsia" w:eastAsia="仿宋_GB2312"/>
                <w:sz w:val="21"/>
                <w:szCs w:val="21"/>
                <w:vertAlign w:val="superscript"/>
              </w:rPr>
              <w:t>2</w:t>
            </w:r>
            <w:r>
              <w:rPr>
                <w:rFonts w:hint="eastAsia" w:eastAsia="仿宋_GB2312"/>
                <w:sz w:val="21"/>
                <w:szCs w:val="21"/>
              </w:rPr>
              <w:t>无增减</w:t>
            </w:r>
            <w:r>
              <w:rPr>
                <w:rFonts w:hint="eastAsia"/>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（三〉</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开挖填筑土石方总量增加30%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本项目挖填方总量</w:t>
            </w:r>
            <w:r>
              <w:rPr>
                <w:rFonts w:hint="eastAsia"/>
                <w:sz w:val="21"/>
                <w:szCs w:val="21"/>
              </w:rPr>
              <w:t>114.19</w:t>
            </w:r>
            <w:r>
              <w:rPr>
                <w:rFonts w:hint="eastAsia" w:eastAsia="仿宋_GB2312"/>
                <w:sz w:val="21"/>
                <w:szCs w:val="21"/>
              </w:rPr>
              <w:t>万m</w:t>
            </w:r>
            <w:r>
              <w:rPr>
                <w:rFonts w:hint="eastAsia" w:eastAsia="仿宋_GB2312"/>
                <w:sz w:val="21"/>
                <w:szCs w:val="21"/>
                <w:vertAlign w:val="superscript"/>
              </w:rPr>
              <w:t>3</w:t>
            </w:r>
            <w:r>
              <w:rPr>
                <w:rFonts w:hint="eastAsia" w:eastAsia="仿宋_GB2312"/>
                <w:sz w:val="21"/>
                <w:szCs w:val="21"/>
              </w:rPr>
              <w:t>，较原设计</w:t>
            </w:r>
            <w:r>
              <w:rPr>
                <w:rFonts w:hint="eastAsia"/>
                <w:sz w:val="21"/>
                <w:szCs w:val="21"/>
              </w:rPr>
              <w:t>114.19</w:t>
            </w:r>
            <w:r>
              <w:rPr>
                <w:rFonts w:hint="eastAsia" w:eastAsia="仿宋_GB2312"/>
                <w:sz w:val="21"/>
                <w:szCs w:val="21"/>
              </w:rPr>
              <w:t>万m</w:t>
            </w:r>
            <w:r>
              <w:rPr>
                <w:rFonts w:hint="eastAsia" w:eastAsia="仿宋_GB2312"/>
                <w:sz w:val="21"/>
                <w:szCs w:val="21"/>
                <w:vertAlign w:val="superscript"/>
              </w:rPr>
              <w:t>3</w:t>
            </w:r>
            <w:r>
              <w:rPr>
                <w:rFonts w:hint="eastAsia"/>
                <w:sz w:val="21"/>
                <w:szCs w:val="21"/>
              </w:rPr>
              <w:t>无增减</w:t>
            </w:r>
            <w:r>
              <w:rPr>
                <w:rFonts w:hint="eastAsia" w:eastAsia="仿宋_GB2312"/>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（四〉</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施工道路或者伴行道路等长度增加20 %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本项目施工道路</w:t>
            </w:r>
            <w:r>
              <w:rPr>
                <w:rFonts w:hint="eastAsia"/>
                <w:sz w:val="21"/>
                <w:szCs w:val="21"/>
              </w:rPr>
              <w:t>1.1k</w:t>
            </w:r>
            <w:r>
              <w:rPr>
                <w:rFonts w:hint="eastAsia" w:eastAsia="仿宋_GB2312"/>
                <w:sz w:val="21"/>
                <w:szCs w:val="21"/>
              </w:rPr>
              <w:t>m，较原设计</w:t>
            </w:r>
            <w:r>
              <w:rPr>
                <w:rFonts w:hint="eastAsia"/>
                <w:sz w:val="21"/>
                <w:szCs w:val="21"/>
              </w:rPr>
              <w:t>1.1</w:t>
            </w:r>
            <w:r>
              <w:rPr>
                <w:rFonts w:hint="eastAsia" w:eastAsia="仿宋_GB2312"/>
                <w:sz w:val="21"/>
                <w:szCs w:val="21"/>
              </w:rPr>
              <w:t>km</w:t>
            </w:r>
            <w:r>
              <w:rPr>
                <w:rFonts w:hint="eastAsia"/>
                <w:sz w:val="21"/>
                <w:szCs w:val="21"/>
              </w:rPr>
              <w:t>无增减；</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3"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第四条</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水土保持方案实施过程中，水土保持措施发生下列重大变更之一的，生产建设单位应当补充或者修改水土保持方案，报水利部审批。</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（一〉</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表土剥离量减少30%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本工程不涉及表土剥离</w:t>
            </w:r>
            <w:r>
              <w:rPr>
                <w:rFonts w:hint="eastAsia"/>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lang w:val="zh-CN"/>
              </w:rPr>
            </w:pPr>
            <w:r>
              <w:rPr>
                <w:rFonts w:hint="eastAsia"/>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（二〉</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植物措施总面积减少30%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本工程实际计划实施植物措施总面积</w:t>
            </w:r>
            <w:r>
              <w:rPr>
                <w:rFonts w:hint="eastAsia"/>
                <w:sz w:val="21"/>
                <w:szCs w:val="21"/>
              </w:rPr>
              <w:t>6.58</w:t>
            </w:r>
            <w:r>
              <w:rPr>
                <w:rFonts w:hint="eastAsia" w:eastAsia="仿宋_GB2312"/>
                <w:sz w:val="21"/>
                <w:szCs w:val="21"/>
              </w:rPr>
              <w:t>hm</w:t>
            </w:r>
            <w:r>
              <w:rPr>
                <w:rFonts w:hint="eastAsia" w:eastAsia="仿宋_GB2312"/>
                <w:sz w:val="21"/>
                <w:szCs w:val="21"/>
                <w:vertAlign w:val="superscript"/>
              </w:rPr>
              <w:t>2</w:t>
            </w:r>
            <w:r>
              <w:rPr>
                <w:rFonts w:hint="eastAsia" w:eastAsia="仿宋_GB2312"/>
                <w:sz w:val="21"/>
                <w:szCs w:val="21"/>
              </w:rPr>
              <w:t>，较原设计</w:t>
            </w:r>
            <w:r>
              <w:rPr>
                <w:rFonts w:hint="eastAsia"/>
                <w:sz w:val="21"/>
                <w:szCs w:val="21"/>
              </w:rPr>
              <w:t>6.58</w:t>
            </w:r>
            <w:r>
              <w:rPr>
                <w:rFonts w:hint="eastAsia" w:eastAsia="仿宋_GB2312"/>
                <w:sz w:val="21"/>
                <w:szCs w:val="21"/>
              </w:rPr>
              <w:t>hm</w:t>
            </w:r>
            <w:r>
              <w:rPr>
                <w:rFonts w:hint="eastAsia" w:eastAsia="仿宋_GB2312"/>
                <w:sz w:val="21"/>
                <w:szCs w:val="21"/>
                <w:vertAlign w:val="superscript"/>
              </w:rPr>
              <w:t>2</w:t>
            </w:r>
            <w:r>
              <w:rPr>
                <w:rFonts w:hint="eastAsia"/>
                <w:sz w:val="21"/>
                <w:szCs w:val="21"/>
              </w:rPr>
              <w:t>无增减。</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lang w:val="zh-CN"/>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（三〉</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水土保持重要单位工程措施体系发生变化，可能导致水土保持功能显著降低或丧失的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措施变化后，不会导致水土保持功能显著降低或丧失的</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lang w:val="zh-CN"/>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第五条</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在水土保持方案确定的废弃砂、石、土、矸石、尾矿、废渣等专门存放地〈以下简称“弃渣场”）外新设弃渣场的，或者需要提高弃渣场堆渣量达到20% 以上的，生产建设单位应当在弃渣前编制水土保持方案（弃渣场补充〉报告书，报水利部审批。</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工程实际使用</w:t>
            </w:r>
            <w:r>
              <w:rPr>
                <w:rFonts w:hint="eastAsia"/>
                <w:sz w:val="21"/>
                <w:szCs w:val="21"/>
              </w:rPr>
              <w:t>临时堆土场2</w:t>
            </w:r>
            <w:r>
              <w:rPr>
                <w:rFonts w:hint="eastAsia" w:eastAsia="仿宋_GB2312"/>
                <w:sz w:val="21"/>
                <w:szCs w:val="21"/>
              </w:rPr>
              <w:t>座，</w:t>
            </w:r>
            <w:r>
              <w:rPr>
                <w:rFonts w:hint="eastAsia"/>
                <w:sz w:val="21"/>
                <w:szCs w:val="21"/>
              </w:rPr>
              <w:t>未设置弃渣场，</w:t>
            </w:r>
            <w:r>
              <w:rPr>
                <w:rFonts w:hint="eastAsia" w:eastAsia="仿宋_GB2312"/>
                <w:sz w:val="21"/>
                <w:szCs w:val="21"/>
              </w:rPr>
              <w:t>位置没有发生改变；本项目弃方</w:t>
            </w:r>
            <w:r>
              <w:rPr>
                <w:rFonts w:hint="eastAsia"/>
                <w:sz w:val="21"/>
                <w:szCs w:val="21"/>
              </w:rPr>
              <w:t>73.51</w:t>
            </w:r>
            <w:r>
              <w:rPr>
                <w:rFonts w:hint="eastAsia" w:eastAsia="仿宋_GB2312"/>
                <w:sz w:val="21"/>
                <w:szCs w:val="21"/>
              </w:rPr>
              <w:t>万m</w:t>
            </w:r>
            <w:r>
              <w:rPr>
                <w:rFonts w:hint="eastAsia" w:eastAsia="仿宋_GB2312"/>
                <w:sz w:val="21"/>
                <w:szCs w:val="21"/>
                <w:vertAlign w:val="superscript"/>
              </w:rPr>
              <w:t>3</w:t>
            </w:r>
            <w:r>
              <w:rPr>
                <w:rFonts w:hint="eastAsia" w:eastAsia="仿宋_GB2312"/>
                <w:sz w:val="21"/>
                <w:szCs w:val="21"/>
              </w:rPr>
              <w:t>，较原设计</w:t>
            </w:r>
            <w:r>
              <w:rPr>
                <w:rFonts w:hint="eastAsia"/>
                <w:sz w:val="21"/>
                <w:szCs w:val="21"/>
              </w:rPr>
              <w:t>73.51</w:t>
            </w:r>
            <w:r>
              <w:rPr>
                <w:rFonts w:hint="eastAsia" w:eastAsia="仿宋_GB2312"/>
                <w:sz w:val="21"/>
                <w:szCs w:val="21"/>
              </w:rPr>
              <w:t>万m</w:t>
            </w:r>
            <w:r>
              <w:rPr>
                <w:rFonts w:hint="eastAsia" w:eastAsia="仿宋_GB2312"/>
                <w:sz w:val="21"/>
                <w:szCs w:val="21"/>
                <w:vertAlign w:val="superscript"/>
              </w:rPr>
              <w:t>3</w:t>
            </w:r>
            <w:r>
              <w:rPr>
                <w:rFonts w:hint="eastAsia"/>
                <w:sz w:val="21"/>
                <w:szCs w:val="21"/>
              </w:rPr>
              <w:t>无增减。</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lang w:val="zh-CN"/>
              </w:rPr>
            </w:pPr>
            <w:r>
              <w:rPr>
                <w:rFonts w:hint="eastAsia" w:eastAsia="仿宋_GB2312"/>
                <w:sz w:val="21"/>
                <w:szCs w:val="21"/>
                <w:lang w:val="zh-CN"/>
              </w:rPr>
              <w:t>不符合</w:t>
            </w:r>
          </w:p>
        </w:tc>
      </w:tr>
    </w:tbl>
    <w:p>
      <w:pPr>
        <w:pStyle w:val="2"/>
        <w:ind w:firstLine="480"/>
        <w:sectPr>
          <w:pgSz w:w="11906" w:h="16838"/>
          <w:pgMar w:top="1587" w:right="1587" w:bottom="1587" w:left="1587" w:header="567" w:footer="567" w:gutter="0"/>
          <w:cols w:space="720" w:num="1"/>
          <w:docGrid w:type="lines" w:linePitch="312" w:charSpace="0"/>
        </w:sectPr>
      </w:pPr>
    </w:p>
    <w:p>
      <w:pPr>
        <w:pStyle w:val="3"/>
        <w:spacing w:line="240" w:lineRule="auto"/>
        <w:ind w:firstLine="0" w:firstLineChars="0"/>
        <w:jc w:val="center"/>
        <w:rPr>
          <w:rFonts w:cs="仿宋"/>
          <w:kern w:val="0"/>
        </w:rPr>
      </w:pPr>
      <w:bookmarkStart w:id="49" w:name="_Toc4687"/>
      <w:r>
        <w:rPr>
          <w:rFonts w:hint="eastAsia" w:cs="仿宋"/>
          <w:kern w:val="0"/>
        </w:rPr>
        <w:t>3.水土保持方案实施情况</w:t>
      </w:r>
      <w:bookmarkEnd w:id="49"/>
    </w:p>
    <w:p>
      <w:pPr>
        <w:pStyle w:val="4"/>
        <w:ind w:firstLine="562"/>
      </w:pPr>
      <w:bookmarkStart w:id="50" w:name="_Toc10476"/>
      <w:r>
        <w:rPr>
          <w:rFonts w:hint="eastAsia"/>
        </w:rPr>
        <w:t>3.1</w:t>
      </w:r>
      <w:r>
        <w:t>水土流失防治责任范围</w:t>
      </w:r>
      <w:bookmarkEnd w:id="50"/>
    </w:p>
    <w:p>
      <w:pPr>
        <w:pStyle w:val="61"/>
        <w:spacing w:line="360" w:lineRule="auto"/>
        <w:ind w:firstLine="480"/>
      </w:pPr>
      <w:r>
        <w:t>经实地勘察和核查，本工程实际水土流失防治责任范围</w:t>
      </w:r>
      <w:r>
        <w:rPr>
          <w:rFonts w:hint="eastAsia"/>
        </w:rPr>
        <w:t>19.89hm</w:t>
      </w:r>
      <w:r>
        <w:rPr>
          <w:vertAlign w:val="superscript"/>
        </w:rPr>
        <w:t>2</w:t>
      </w:r>
      <w:r>
        <w:t>，</w:t>
      </w:r>
      <w:r>
        <w:rPr>
          <w:rFonts w:hint="eastAsia"/>
        </w:rPr>
        <w:t>主要为项目建设区</w:t>
      </w:r>
      <w:r>
        <w:t>。工程实际防治责任范围与方案批复防治责任范围对比见表</w:t>
      </w:r>
      <w:r>
        <w:rPr>
          <w:rFonts w:hint="eastAsia"/>
        </w:rPr>
        <w:t>3</w:t>
      </w:r>
      <w:r>
        <w:t>-1。</w:t>
      </w:r>
    </w:p>
    <w:p>
      <w:pPr>
        <w:ind w:firstLine="422"/>
        <w:jc w:val="center"/>
        <w:rPr>
          <w:rFonts w:cs="仿宋"/>
          <w:b/>
          <w:sz w:val="21"/>
          <w:szCs w:val="21"/>
          <w:vertAlign w:val="superscript"/>
        </w:rPr>
      </w:pPr>
      <w:r>
        <w:rPr>
          <w:rFonts w:hint="eastAsia" w:cs="仿宋"/>
          <w:b/>
          <w:sz w:val="21"/>
          <w:szCs w:val="21"/>
        </w:rPr>
        <w:t xml:space="preserve">表3-1  </w:t>
      </w:r>
      <w:r>
        <w:rPr>
          <w:b/>
          <w:sz w:val="21"/>
          <w:szCs w:val="21"/>
        </w:rPr>
        <w:t>实际防治责任范围与方案批复防治责任范围对比表</w:t>
      </w:r>
      <w:r>
        <w:rPr>
          <w:rFonts w:hint="eastAsia" w:cs="仿宋"/>
          <w:b/>
          <w:sz w:val="21"/>
          <w:szCs w:val="21"/>
        </w:rPr>
        <w:t xml:space="preserve">    单位：hm</w:t>
      </w:r>
      <w:r>
        <w:rPr>
          <w:rFonts w:hint="eastAsia" w:cs="仿宋"/>
          <w:b/>
          <w:sz w:val="21"/>
          <w:szCs w:val="21"/>
          <w:vertAlign w:val="superscript"/>
        </w:rPr>
        <w:t>2</w:t>
      </w:r>
    </w:p>
    <w:tbl>
      <w:tblPr>
        <w:tblStyle w:val="23"/>
        <w:tblpPr w:leftFromText="180" w:rightFromText="180" w:vertAnchor="text" w:horzAnchor="page" w:tblpXSpec="center" w:tblpY="533"/>
        <w:tblOverlap w:val="never"/>
        <w:tblW w:w="5093"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515"/>
        <w:gridCol w:w="696"/>
        <w:gridCol w:w="2032"/>
        <w:gridCol w:w="1740"/>
        <w:gridCol w:w="1327"/>
        <w:gridCol w:w="1021"/>
        <w:gridCol w:w="862"/>
        <w:gridCol w:w="724"/>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Align w:val="center"/>
          </w:tcPr>
          <w:p>
            <w:pPr>
              <w:pStyle w:val="53"/>
            </w:pPr>
            <w:r>
              <w:t>地块分区</w:t>
            </w:r>
          </w:p>
        </w:tc>
        <w:tc>
          <w:tcPr>
            <w:tcW w:w="1528" w:type="pct"/>
            <w:gridSpan w:val="2"/>
            <w:tcMar>
              <w:top w:w="14" w:type="dxa"/>
              <w:left w:w="14" w:type="dxa"/>
              <w:bottom w:w="0" w:type="dxa"/>
              <w:right w:w="14" w:type="dxa"/>
            </w:tcMar>
            <w:vAlign w:val="center"/>
          </w:tcPr>
          <w:p>
            <w:pPr>
              <w:pStyle w:val="53"/>
            </w:pPr>
            <w:r>
              <w:t>工程分区</w:t>
            </w:r>
          </w:p>
        </w:tc>
        <w:tc>
          <w:tcPr>
            <w:tcW w:w="975" w:type="pct"/>
            <w:tcMar>
              <w:top w:w="14" w:type="dxa"/>
              <w:left w:w="14" w:type="dxa"/>
              <w:bottom w:w="0" w:type="dxa"/>
              <w:right w:w="14" w:type="dxa"/>
            </w:tcMar>
            <w:vAlign w:val="center"/>
          </w:tcPr>
          <w:p>
            <w:pPr>
              <w:pStyle w:val="53"/>
            </w:pPr>
            <w:r>
              <w:t>项目建设区</w:t>
            </w:r>
          </w:p>
        </w:tc>
        <w:tc>
          <w:tcPr>
            <w:tcW w:w="744" w:type="pct"/>
            <w:tcMar>
              <w:top w:w="14" w:type="dxa"/>
              <w:left w:w="14" w:type="dxa"/>
              <w:bottom w:w="0" w:type="dxa"/>
              <w:right w:w="14" w:type="dxa"/>
            </w:tcMar>
            <w:vAlign w:val="center"/>
          </w:tcPr>
          <w:p>
            <w:pPr>
              <w:pStyle w:val="53"/>
            </w:pPr>
            <w:r>
              <w:t>直接影响区</w:t>
            </w:r>
          </w:p>
        </w:tc>
        <w:tc>
          <w:tcPr>
            <w:tcW w:w="572" w:type="pct"/>
            <w:tcMar>
              <w:top w:w="14" w:type="dxa"/>
              <w:left w:w="14" w:type="dxa"/>
              <w:bottom w:w="0" w:type="dxa"/>
              <w:right w:w="14" w:type="dxa"/>
            </w:tcMar>
            <w:vAlign w:val="center"/>
          </w:tcPr>
          <w:p>
            <w:pPr>
              <w:pStyle w:val="53"/>
            </w:pPr>
            <w:r>
              <w:t>防治</w:t>
            </w:r>
          </w:p>
          <w:p>
            <w:pPr>
              <w:pStyle w:val="53"/>
            </w:pPr>
            <w:r>
              <w:t>责任范围</w:t>
            </w:r>
          </w:p>
        </w:tc>
        <w:tc>
          <w:tcPr>
            <w:tcW w:w="483" w:type="pct"/>
            <w:tcMar>
              <w:top w:w="14" w:type="dxa"/>
              <w:left w:w="14" w:type="dxa"/>
              <w:bottom w:w="0" w:type="dxa"/>
              <w:right w:w="14" w:type="dxa"/>
            </w:tcMar>
            <w:vAlign w:val="center"/>
          </w:tcPr>
          <w:p>
            <w:pPr>
              <w:pStyle w:val="53"/>
            </w:pPr>
            <w:r>
              <w:rPr>
                <w:rFonts w:hint="eastAsia"/>
              </w:rPr>
              <w:t>实际</w:t>
            </w:r>
            <w:r>
              <w:rPr>
                <w:rFonts w:hint="eastAsia"/>
                <w:lang w:val="zh-CN"/>
              </w:rPr>
              <w:t>防治责任范围</w:t>
            </w:r>
          </w:p>
        </w:tc>
        <w:tc>
          <w:tcPr>
            <w:tcW w:w="406" w:type="pct"/>
            <w:tcMar>
              <w:top w:w="14" w:type="dxa"/>
              <w:left w:w="14" w:type="dxa"/>
              <w:bottom w:w="0" w:type="dxa"/>
              <w:right w:w="14" w:type="dxa"/>
            </w:tcMar>
            <w:vAlign w:val="center"/>
          </w:tcPr>
          <w:p>
            <w:pPr>
              <w:pStyle w:val="53"/>
            </w:pPr>
            <w:r>
              <w:rPr>
                <w:rFonts w:hint="eastAsia"/>
              </w:rPr>
              <w:t>对比值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restart"/>
            <w:vAlign w:val="center"/>
          </w:tcPr>
          <w:p>
            <w:pPr>
              <w:pStyle w:val="53"/>
            </w:pPr>
            <w:r>
              <w:t>东区</w:t>
            </w:r>
          </w:p>
        </w:tc>
        <w:tc>
          <w:tcPr>
            <w:tcW w:w="390" w:type="pct"/>
            <w:vMerge w:val="restart"/>
            <w:tcMar>
              <w:top w:w="14" w:type="dxa"/>
              <w:left w:w="14" w:type="dxa"/>
              <w:bottom w:w="0" w:type="dxa"/>
              <w:right w:w="14" w:type="dxa"/>
            </w:tcMar>
            <w:vAlign w:val="center"/>
          </w:tcPr>
          <w:p>
            <w:pPr>
              <w:pStyle w:val="53"/>
            </w:pPr>
            <w:r>
              <w:t>主体</w:t>
            </w:r>
          </w:p>
          <w:p>
            <w:pPr>
              <w:pStyle w:val="53"/>
            </w:pPr>
            <w:r>
              <w:t>工程区</w:t>
            </w:r>
          </w:p>
        </w:tc>
        <w:tc>
          <w:tcPr>
            <w:tcW w:w="1138" w:type="pct"/>
            <w:tcMar>
              <w:top w:w="14" w:type="dxa"/>
              <w:left w:w="14" w:type="dxa"/>
              <w:bottom w:w="0" w:type="dxa"/>
              <w:right w:w="14" w:type="dxa"/>
            </w:tcMar>
            <w:vAlign w:val="center"/>
          </w:tcPr>
          <w:p>
            <w:pPr>
              <w:pStyle w:val="53"/>
            </w:pPr>
            <w:r>
              <w:t>建筑物区</w:t>
            </w:r>
          </w:p>
        </w:tc>
        <w:tc>
          <w:tcPr>
            <w:tcW w:w="975" w:type="pct"/>
            <w:tcMar>
              <w:top w:w="14" w:type="dxa"/>
              <w:left w:w="14" w:type="dxa"/>
              <w:bottom w:w="0" w:type="dxa"/>
              <w:right w:w="14" w:type="dxa"/>
            </w:tcMar>
            <w:vAlign w:val="center"/>
          </w:tcPr>
          <w:p>
            <w:pPr>
              <w:pStyle w:val="53"/>
            </w:pPr>
            <w:r>
              <w:t>3.14</w:t>
            </w:r>
          </w:p>
        </w:tc>
        <w:tc>
          <w:tcPr>
            <w:tcW w:w="744" w:type="pct"/>
            <w:vMerge w:val="restart"/>
            <w:tcMar>
              <w:top w:w="14" w:type="dxa"/>
              <w:left w:w="14" w:type="dxa"/>
              <w:bottom w:w="0" w:type="dxa"/>
              <w:right w:w="14" w:type="dxa"/>
            </w:tcMar>
            <w:vAlign w:val="center"/>
          </w:tcPr>
          <w:p>
            <w:pPr>
              <w:pStyle w:val="53"/>
            </w:pPr>
            <w:r>
              <w:t>0.30</w:t>
            </w:r>
          </w:p>
        </w:tc>
        <w:tc>
          <w:tcPr>
            <w:tcW w:w="572" w:type="pct"/>
            <w:vMerge w:val="restart"/>
            <w:tcMar>
              <w:top w:w="14" w:type="dxa"/>
              <w:left w:w="14" w:type="dxa"/>
              <w:bottom w:w="0" w:type="dxa"/>
              <w:right w:w="14" w:type="dxa"/>
            </w:tcMar>
            <w:vAlign w:val="center"/>
          </w:tcPr>
          <w:p>
            <w:pPr>
              <w:pStyle w:val="53"/>
            </w:pPr>
            <w:r>
              <w:t>14.06</w:t>
            </w:r>
          </w:p>
        </w:tc>
        <w:tc>
          <w:tcPr>
            <w:tcW w:w="483" w:type="pct"/>
            <w:vMerge w:val="restart"/>
            <w:tcMar>
              <w:top w:w="14" w:type="dxa"/>
              <w:left w:w="14" w:type="dxa"/>
              <w:bottom w:w="0" w:type="dxa"/>
              <w:right w:w="14" w:type="dxa"/>
            </w:tcMar>
            <w:vAlign w:val="center"/>
          </w:tcPr>
          <w:p>
            <w:pPr>
              <w:pStyle w:val="53"/>
            </w:pPr>
            <w:r>
              <w:t>14.0</w:t>
            </w:r>
            <w:r>
              <w:rPr>
                <w:rFonts w:hint="eastAsia"/>
              </w:rPr>
              <w:t>5</w:t>
            </w:r>
          </w:p>
        </w:tc>
        <w:tc>
          <w:tcPr>
            <w:tcW w:w="406" w:type="pct"/>
            <w:vMerge w:val="restart"/>
            <w:tcMar>
              <w:top w:w="14" w:type="dxa"/>
              <w:left w:w="14" w:type="dxa"/>
              <w:bottom w:w="0" w:type="dxa"/>
              <w:right w:w="14" w:type="dxa"/>
            </w:tcMar>
            <w:vAlign w:val="center"/>
          </w:tcPr>
          <w:p>
            <w:pPr>
              <w:pStyle w:val="53"/>
            </w:pPr>
            <w:r>
              <w:rPr>
                <w:rFonts w:hint="eastAsia"/>
              </w:rPr>
              <w:t>-0.01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道路及硬化场地区</w:t>
            </w:r>
          </w:p>
        </w:tc>
        <w:tc>
          <w:tcPr>
            <w:tcW w:w="975" w:type="pct"/>
            <w:tcMar>
              <w:top w:w="14" w:type="dxa"/>
              <w:left w:w="14" w:type="dxa"/>
              <w:bottom w:w="0" w:type="dxa"/>
              <w:right w:w="14" w:type="dxa"/>
            </w:tcMar>
            <w:vAlign w:val="center"/>
          </w:tcPr>
          <w:p>
            <w:pPr>
              <w:pStyle w:val="53"/>
            </w:pPr>
            <w:r>
              <w:t>5.76</w:t>
            </w:r>
          </w:p>
        </w:tc>
        <w:tc>
          <w:tcPr>
            <w:tcW w:w="744" w:type="pct"/>
            <w:vMerge w:val="continue"/>
            <w:vAlign w:val="center"/>
          </w:tcPr>
          <w:p>
            <w:pPr>
              <w:pStyle w:val="53"/>
            </w:pPr>
          </w:p>
        </w:tc>
        <w:tc>
          <w:tcPr>
            <w:tcW w:w="572" w:type="pct"/>
            <w:vMerge w:val="continue"/>
            <w:vAlign w:val="center"/>
          </w:tcPr>
          <w:p>
            <w:pPr>
              <w:pStyle w:val="53"/>
            </w:pPr>
          </w:p>
        </w:tc>
        <w:tc>
          <w:tcPr>
            <w:tcW w:w="483" w:type="pct"/>
            <w:vMerge w:val="continue"/>
            <w:tcMar>
              <w:top w:w="14" w:type="dxa"/>
              <w:left w:w="14" w:type="dxa"/>
              <w:bottom w:w="0" w:type="dxa"/>
              <w:right w:w="14" w:type="dxa"/>
            </w:tcMar>
            <w:vAlign w:val="center"/>
          </w:tcPr>
          <w:p>
            <w:pPr>
              <w:pStyle w:val="53"/>
            </w:pPr>
          </w:p>
        </w:tc>
        <w:tc>
          <w:tcPr>
            <w:tcW w:w="406" w:type="pct"/>
            <w:vMerge w:val="continue"/>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绿化区</w:t>
            </w:r>
          </w:p>
        </w:tc>
        <w:tc>
          <w:tcPr>
            <w:tcW w:w="975" w:type="pct"/>
            <w:tcMar>
              <w:top w:w="14" w:type="dxa"/>
              <w:left w:w="14" w:type="dxa"/>
              <w:bottom w:w="0" w:type="dxa"/>
              <w:right w:w="14" w:type="dxa"/>
            </w:tcMar>
            <w:vAlign w:val="center"/>
          </w:tcPr>
          <w:p>
            <w:pPr>
              <w:pStyle w:val="53"/>
            </w:pPr>
            <w:r>
              <w:t>4.86</w:t>
            </w:r>
          </w:p>
        </w:tc>
        <w:tc>
          <w:tcPr>
            <w:tcW w:w="744" w:type="pct"/>
            <w:vMerge w:val="continue"/>
            <w:vAlign w:val="center"/>
          </w:tcPr>
          <w:p>
            <w:pPr>
              <w:pStyle w:val="53"/>
            </w:pPr>
          </w:p>
        </w:tc>
        <w:tc>
          <w:tcPr>
            <w:tcW w:w="572" w:type="pct"/>
            <w:vMerge w:val="continue"/>
            <w:vAlign w:val="center"/>
          </w:tcPr>
          <w:p>
            <w:pPr>
              <w:pStyle w:val="53"/>
            </w:pPr>
          </w:p>
        </w:tc>
        <w:tc>
          <w:tcPr>
            <w:tcW w:w="483" w:type="pct"/>
            <w:vMerge w:val="continue"/>
            <w:tcMar>
              <w:top w:w="14" w:type="dxa"/>
              <w:left w:w="14" w:type="dxa"/>
              <w:bottom w:w="0" w:type="dxa"/>
              <w:right w:w="14" w:type="dxa"/>
            </w:tcMar>
            <w:vAlign w:val="center"/>
          </w:tcPr>
          <w:p>
            <w:pPr>
              <w:pStyle w:val="53"/>
            </w:pPr>
          </w:p>
        </w:tc>
        <w:tc>
          <w:tcPr>
            <w:tcW w:w="406" w:type="pct"/>
            <w:vMerge w:val="continue"/>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restart"/>
            <w:tcMar>
              <w:top w:w="14" w:type="dxa"/>
              <w:left w:w="14" w:type="dxa"/>
              <w:bottom w:w="0" w:type="dxa"/>
              <w:right w:w="14" w:type="dxa"/>
            </w:tcMar>
            <w:vAlign w:val="center"/>
          </w:tcPr>
          <w:p>
            <w:pPr>
              <w:pStyle w:val="53"/>
            </w:pPr>
            <w:r>
              <w:t>临时</w:t>
            </w:r>
          </w:p>
          <w:p>
            <w:pPr>
              <w:pStyle w:val="53"/>
            </w:pPr>
            <w:r>
              <w:t>工程区</w:t>
            </w:r>
          </w:p>
        </w:tc>
        <w:tc>
          <w:tcPr>
            <w:tcW w:w="1138" w:type="pct"/>
            <w:tcMar>
              <w:top w:w="14" w:type="dxa"/>
              <w:left w:w="14" w:type="dxa"/>
              <w:bottom w:w="0" w:type="dxa"/>
              <w:right w:w="14" w:type="dxa"/>
            </w:tcMar>
            <w:vAlign w:val="center"/>
          </w:tcPr>
          <w:p>
            <w:pPr>
              <w:pStyle w:val="53"/>
            </w:pPr>
            <w:r>
              <w:t>施工场地</w:t>
            </w:r>
          </w:p>
        </w:tc>
        <w:tc>
          <w:tcPr>
            <w:tcW w:w="975" w:type="pct"/>
            <w:tcMar>
              <w:top w:w="14" w:type="dxa"/>
              <w:left w:w="14" w:type="dxa"/>
              <w:bottom w:w="0" w:type="dxa"/>
              <w:right w:w="14" w:type="dxa"/>
            </w:tcMar>
            <w:vAlign w:val="center"/>
          </w:tcPr>
          <w:p>
            <w:pPr>
              <w:pStyle w:val="53"/>
            </w:pPr>
            <w:r>
              <w:t>（0.25）</w:t>
            </w:r>
          </w:p>
        </w:tc>
        <w:tc>
          <w:tcPr>
            <w:tcW w:w="744" w:type="pct"/>
            <w:vAlign w:val="center"/>
          </w:tcPr>
          <w:p>
            <w:pPr>
              <w:pStyle w:val="53"/>
            </w:pPr>
            <w:r>
              <w:t>/</w:t>
            </w:r>
          </w:p>
        </w:tc>
        <w:tc>
          <w:tcPr>
            <w:tcW w:w="572" w:type="pct"/>
            <w:vAlign w:val="center"/>
          </w:tcPr>
          <w:p>
            <w:pPr>
              <w:pStyle w:val="53"/>
            </w:pPr>
            <w:r>
              <w:t>（0.25）</w:t>
            </w:r>
          </w:p>
        </w:tc>
        <w:tc>
          <w:tcPr>
            <w:tcW w:w="483" w:type="pct"/>
            <w:tcMar>
              <w:top w:w="14" w:type="dxa"/>
              <w:left w:w="14" w:type="dxa"/>
              <w:bottom w:w="0" w:type="dxa"/>
              <w:right w:w="14" w:type="dxa"/>
            </w:tcMar>
            <w:vAlign w:val="center"/>
          </w:tcPr>
          <w:p>
            <w:pPr>
              <w:pStyle w:val="53"/>
            </w:pPr>
            <w:r>
              <w:t>（0.25）</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施工便道</w:t>
            </w:r>
          </w:p>
        </w:tc>
        <w:tc>
          <w:tcPr>
            <w:tcW w:w="975" w:type="pct"/>
            <w:tcMar>
              <w:top w:w="14" w:type="dxa"/>
              <w:left w:w="14" w:type="dxa"/>
              <w:bottom w:w="0" w:type="dxa"/>
              <w:right w:w="14" w:type="dxa"/>
            </w:tcMar>
            <w:vAlign w:val="center"/>
          </w:tcPr>
          <w:p>
            <w:pPr>
              <w:pStyle w:val="53"/>
            </w:pPr>
            <w:r>
              <w:t>（0.46）</w:t>
            </w:r>
          </w:p>
        </w:tc>
        <w:tc>
          <w:tcPr>
            <w:tcW w:w="744" w:type="pct"/>
            <w:vAlign w:val="center"/>
          </w:tcPr>
          <w:p>
            <w:pPr>
              <w:pStyle w:val="53"/>
            </w:pPr>
            <w:r>
              <w:t>/</w:t>
            </w:r>
          </w:p>
        </w:tc>
        <w:tc>
          <w:tcPr>
            <w:tcW w:w="572" w:type="pct"/>
            <w:vAlign w:val="center"/>
          </w:tcPr>
          <w:p>
            <w:pPr>
              <w:pStyle w:val="53"/>
            </w:pPr>
            <w:r>
              <w:t>（0.46）</w:t>
            </w:r>
          </w:p>
        </w:tc>
        <w:tc>
          <w:tcPr>
            <w:tcW w:w="483" w:type="pct"/>
            <w:tcMar>
              <w:top w:w="14" w:type="dxa"/>
              <w:left w:w="14" w:type="dxa"/>
              <w:bottom w:w="0" w:type="dxa"/>
              <w:right w:w="14" w:type="dxa"/>
            </w:tcMar>
            <w:vAlign w:val="center"/>
          </w:tcPr>
          <w:p>
            <w:pPr>
              <w:pStyle w:val="53"/>
            </w:pPr>
            <w:r>
              <w:t>（0.46）</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1号临时堆土场</w:t>
            </w:r>
          </w:p>
        </w:tc>
        <w:tc>
          <w:tcPr>
            <w:tcW w:w="975" w:type="pct"/>
            <w:tcMar>
              <w:top w:w="14" w:type="dxa"/>
              <w:left w:w="14" w:type="dxa"/>
              <w:bottom w:w="0" w:type="dxa"/>
              <w:right w:w="14" w:type="dxa"/>
            </w:tcMar>
            <w:vAlign w:val="center"/>
          </w:tcPr>
          <w:p>
            <w:pPr>
              <w:pStyle w:val="53"/>
            </w:pPr>
            <w:r>
              <w:t>（1.10）</w:t>
            </w:r>
          </w:p>
        </w:tc>
        <w:tc>
          <w:tcPr>
            <w:tcW w:w="744" w:type="pct"/>
            <w:vAlign w:val="center"/>
          </w:tcPr>
          <w:p>
            <w:pPr>
              <w:pStyle w:val="53"/>
            </w:pPr>
            <w:r>
              <w:t>/</w:t>
            </w:r>
          </w:p>
        </w:tc>
        <w:tc>
          <w:tcPr>
            <w:tcW w:w="572" w:type="pct"/>
            <w:vAlign w:val="center"/>
          </w:tcPr>
          <w:p>
            <w:pPr>
              <w:pStyle w:val="53"/>
            </w:pPr>
            <w:r>
              <w:t>（1.10）</w:t>
            </w:r>
          </w:p>
        </w:tc>
        <w:tc>
          <w:tcPr>
            <w:tcW w:w="483" w:type="pct"/>
            <w:tcMar>
              <w:top w:w="14" w:type="dxa"/>
              <w:left w:w="14" w:type="dxa"/>
              <w:bottom w:w="0" w:type="dxa"/>
              <w:right w:w="14" w:type="dxa"/>
            </w:tcMar>
            <w:vAlign w:val="center"/>
          </w:tcPr>
          <w:p>
            <w:pPr>
              <w:pStyle w:val="53"/>
            </w:pPr>
            <w:r>
              <w:t>（1.10）</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1528" w:type="pct"/>
            <w:gridSpan w:val="2"/>
            <w:tcMar>
              <w:top w:w="14" w:type="dxa"/>
              <w:left w:w="14" w:type="dxa"/>
              <w:bottom w:w="0" w:type="dxa"/>
              <w:right w:w="14" w:type="dxa"/>
            </w:tcMar>
            <w:vAlign w:val="center"/>
          </w:tcPr>
          <w:p>
            <w:pPr>
              <w:pStyle w:val="53"/>
            </w:pPr>
            <w:r>
              <w:t>小计</w:t>
            </w:r>
          </w:p>
        </w:tc>
        <w:tc>
          <w:tcPr>
            <w:tcW w:w="975" w:type="pct"/>
            <w:tcMar>
              <w:top w:w="14" w:type="dxa"/>
              <w:left w:w="14" w:type="dxa"/>
              <w:bottom w:w="0" w:type="dxa"/>
              <w:right w:w="14" w:type="dxa"/>
            </w:tcMar>
            <w:vAlign w:val="center"/>
          </w:tcPr>
          <w:p>
            <w:pPr>
              <w:pStyle w:val="53"/>
            </w:pPr>
            <w:r>
              <w:t>13.76</w:t>
            </w:r>
          </w:p>
        </w:tc>
        <w:tc>
          <w:tcPr>
            <w:tcW w:w="744" w:type="pct"/>
            <w:tcMar>
              <w:top w:w="14" w:type="dxa"/>
              <w:left w:w="14" w:type="dxa"/>
              <w:bottom w:w="0" w:type="dxa"/>
              <w:right w:w="14" w:type="dxa"/>
            </w:tcMar>
            <w:vAlign w:val="center"/>
          </w:tcPr>
          <w:p>
            <w:pPr>
              <w:pStyle w:val="53"/>
            </w:pPr>
            <w:r>
              <w:t>0.30</w:t>
            </w:r>
          </w:p>
        </w:tc>
        <w:tc>
          <w:tcPr>
            <w:tcW w:w="572" w:type="pct"/>
            <w:tcMar>
              <w:top w:w="14" w:type="dxa"/>
              <w:left w:w="14" w:type="dxa"/>
              <w:bottom w:w="0" w:type="dxa"/>
              <w:right w:w="14" w:type="dxa"/>
            </w:tcMar>
            <w:vAlign w:val="center"/>
          </w:tcPr>
          <w:p>
            <w:pPr>
              <w:pStyle w:val="53"/>
            </w:pPr>
            <w:r>
              <w:t>14.06</w:t>
            </w:r>
          </w:p>
        </w:tc>
        <w:tc>
          <w:tcPr>
            <w:tcW w:w="483" w:type="pct"/>
            <w:tcMar>
              <w:top w:w="14" w:type="dxa"/>
              <w:left w:w="14" w:type="dxa"/>
              <w:bottom w:w="0" w:type="dxa"/>
              <w:right w:w="14" w:type="dxa"/>
            </w:tcMar>
            <w:vAlign w:val="center"/>
          </w:tcPr>
          <w:p>
            <w:pPr>
              <w:pStyle w:val="53"/>
            </w:pPr>
            <w:r>
              <w:t>14.06</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restart"/>
            <w:vAlign w:val="center"/>
          </w:tcPr>
          <w:p>
            <w:pPr>
              <w:pStyle w:val="53"/>
            </w:pPr>
            <w:r>
              <w:t>西区</w:t>
            </w:r>
          </w:p>
        </w:tc>
        <w:tc>
          <w:tcPr>
            <w:tcW w:w="390" w:type="pct"/>
            <w:vMerge w:val="restart"/>
            <w:tcMar>
              <w:top w:w="14" w:type="dxa"/>
              <w:left w:w="14" w:type="dxa"/>
              <w:bottom w:w="0" w:type="dxa"/>
              <w:right w:w="14" w:type="dxa"/>
            </w:tcMar>
            <w:vAlign w:val="center"/>
          </w:tcPr>
          <w:p>
            <w:pPr>
              <w:pStyle w:val="53"/>
            </w:pPr>
            <w:r>
              <w:t>主体</w:t>
            </w:r>
          </w:p>
          <w:p>
            <w:pPr>
              <w:pStyle w:val="53"/>
            </w:pPr>
            <w:r>
              <w:t>工程区</w:t>
            </w:r>
          </w:p>
        </w:tc>
        <w:tc>
          <w:tcPr>
            <w:tcW w:w="1138" w:type="pct"/>
            <w:tcMar>
              <w:top w:w="14" w:type="dxa"/>
              <w:left w:w="14" w:type="dxa"/>
              <w:bottom w:w="0" w:type="dxa"/>
              <w:right w:w="14" w:type="dxa"/>
            </w:tcMar>
            <w:vAlign w:val="center"/>
          </w:tcPr>
          <w:p>
            <w:pPr>
              <w:pStyle w:val="53"/>
            </w:pPr>
            <w:r>
              <w:t>建筑物区</w:t>
            </w:r>
          </w:p>
        </w:tc>
        <w:tc>
          <w:tcPr>
            <w:tcW w:w="975" w:type="pct"/>
            <w:tcMar>
              <w:top w:w="14" w:type="dxa"/>
              <w:left w:w="14" w:type="dxa"/>
              <w:bottom w:w="0" w:type="dxa"/>
              <w:right w:w="14" w:type="dxa"/>
            </w:tcMar>
            <w:vAlign w:val="center"/>
          </w:tcPr>
          <w:p>
            <w:pPr>
              <w:pStyle w:val="53"/>
            </w:pPr>
            <w:r>
              <w:t>0.95</w:t>
            </w:r>
          </w:p>
        </w:tc>
        <w:tc>
          <w:tcPr>
            <w:tcW w:w="744" w:type="pct"/>
            <w:vMerge w:val="restart"/>
            <w:tcMar>
              <w:top w:w="14" w:type="dxa"/>
              <w:left w:w="14" w:type="dxa"/>
              <w:bottom w:w="0" w:type="dxa"/>
              <w:right w:w="14" w:type="dxa"/>
            </w:tcMar>
            <w:vAlign w:val="center"/>
          </w:tcPr>
          <w:p>
            <w:pPr>
              <w:pStyle w:val="53"/>
            </w:pPr>
            <w:r>
              <w:t>0.13</w:t>
            </w:r>
          </w:p>
        </w:tc>
        <w:tc>
          <w:tcPr>
            <w:tcW w:w="572" w:type="pct"/>
            <w:vMerge w:val="restart"/>
            <w:tcMar>
              <w:top w:w="14" w:type="dxa"/>
              <w:left w:w="14" w:type="dxa"/>
              <w:bottom w:w="0" w:type="dxa"/>
              <w:right w:w="14" w:type="dxa"/>
            </w:tcMar>
            <w:vAlign w:val="center"/>
          </w:tcPr>
          <w:p>
            <w:pPr>
              <w:pStyle w:val="53"/>
            </w:pPr>
            <w:r>
              <w:t>4.97</w:t>
            </w:r>
          </w:p>
        </w:tc>
        <w:tc>
          <w:tcPr>
            <w:tcW w:w="483" w:type="pct"/>
            <w:vMerge w:val="restart"/>
            <w:tcMar>
              <w:top w:w="14" w:type="dxa"/>
              <w:left w:w="14" w:type="dxa"/>
              <w:bottom w:w="0" w:type="dxa"/>
              <w:right w:w="14" w:type="dxa"/>
            </w:tcMar>
            <w:vAlign w:val="center"/>
          </w:tcPr>
          <w:p>
            <w:pPr>
              <w:pStyle w:val="53"/>
            </w:pPr>
            <w:r>
              <w:t>4.9</w:t>
            </w:r>
            <w:r>
              <w:rPr>
                <w:rFonts w:hint="eastAsia"/>
              </w:rPr>
              <w:t>6</w:t>
            </w:r>
          </w:p>
        </w:tc>
        <w:tc>
          <w:tcPr>
            <w:tcW w:w="406" w:type="pct"/>
            <w:vMerge w:val="restart"/>
            <w:tcMar>
              <w:top w:w="14" w:type="dxa"/>
              <w:left w:w="14" w:type="dxa"/>
              <w:bottom w:w="0" w:type="dxa"/>
              <w:right w:w="14" w:type="dxa"/>
            </w:tcMar>
            <w:vAlign w:val="center"/>
          </w:tcPr>
          <w:p>
            <w:pPr>
              <w:pStyle w:val="53"/>
            </w:pPr>
            <w:r>
              <w:rPr>
                <w:rFonts w:hint="eastAsia"/>
              </w:rPr>
              <w:t>-0.01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道路及硬化场地区</w:t>
            </w:r>
          </w:p>
        </w:tc>
        <w:tc>
          <w:tcPr>
            <w:tcW w:w="975" w:type="pct"/>
            <w:tcMar>
              <w:top w:w="14" w:type="dxa"/>
              <w:left w:w="14" w:type="dxa"/>
              <w:bottom w:w="0" w:type="dxa"/>
              <w:right w:w="14" w:type="dxa"/>
            </w:tcMar>
            <w:vAlign w:val="center"/>
          </w:tcPr>
          <w:p>
            <w:pPr>
              <w:pStyle w:val="53"/>
            </w:pPr>
            <w:r>
              <w:t>2.17</w:t>
            </w:r>
          </w:p>
        </w:tc>
        <w:tc>
          <w:tcPr>
            <w:tcW w:w="744" w:type="pct"/>
            <w:vMerge w:val="continue"/>
            <w:vAlign w:val="center"/>
          </w:tcPr>
          <w:p>
            <w:pPr>
              <w:pStyle w:val="53"/>
            </w:pPr>
          </w:p>
        </w:tc>
        <w:tc>
          <w:tcPr>
            <w:tcW w:w="572" w:type="pct"/>
            <w:vMerge w:val="continue"/>
            <w:vAlign w:val="center"/>
          </w:tcPr>
          <w:p>
            <w:pPr>
              <w:pStyle w:val="53"/>
            </w:pPr>
          </w:p>
        </w:tc>
        <w:tc>
          <w:tcPr>
            <w:tcW w:w="483" w:type="pct"/>
            <w:vMerge w:val="continue"/>
            <w:tcMar>
              <w:top w:w="14" w:type="dxa"/>
              <w:left w:w="14" w:type="dxa"/>
              <w:bottom w:w="0" w:type="dxa"/>
              <w:right w:w="14" w:type="dxa"/>
            </w:tcMar>
            <w:vAlign w:val="center"/>
          </w:tcPr>
          <w:p>
            <w:pPr>
              <w:pStyle w:val="53"/>
            </w:pPr>
          </w:p>
        </w:tc>
        <w:tc>
          <w:tcPr>
            <w:tcW w:w="406" w:type="pct"/>
            <w:vMerge w:val="continue"/>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绿化区</w:t>
            </w:r>
          </w:p>
        </w:tc>
        <w:tc>
          <w:tcPr>
            <w:tcW w:w="975" w:type="pct"/>
            <w:tcMar>
              <w:top w:w="14" w:type="dxa"/>
              <w:left w:w="14" w:type="dxa"/>
              <w:bottom w:w="0" w:type="dxa"/>
              <w:right w:w="14" w:type="dxa"/>
            </w:tcMar>
            <w:vAlign w:val="center"/>
          </w:tcPr>
          <w:p>
            <w:pPr>
              <w:pStyle w:val="53"/>
            </w:pPr>
            <w:r>
              <w:t>1.72</w:t>
            </w:r>
          </w:p>
        </w:tc>
        <w:tc>
          <w:tcPr>
            <w:tcW w:w="744" w:type="pct"/>
            <w:vMerge w:val="continue"/>
            <w:vAlign w:val="center"/>
          </w:tcPr>
          <w:p>
            <w:pPr>
              <w:pStyle w:val="53"/>
            </w:pPr>
          </w:p>
        </w:tc>
        <w:tc>
          <w:tcPr>
            <w:tcW w:w="572" w:type="pct"/>
            <w:vMerge w:val="continue"/>
            <w:vAlign w:val="center"/>
          </w:tcPr>
          <w:p>
            <w:pPr>
              <w:pStyle w:val="53"/>
            </w:pPr>
          </w:p>
        </w:tc>
        <w:tc>
          <w:tcPr>
            <w:tcW w:w="483" w:type="pct"/>
            <w:vMerge w:val="continue"/>
            <w:tcMar>
              <w:top w:w="14" w:type="dxa"/>
              <w:left w:w="14" w:type="dxa"/>
              <w:bottom w:w="0" w:type="dxa"/>
              <w:right w:w="14" w:type="dxa"/>
            </w:tcMar>
            <w:vAlign w:val="center"/>
          </w:tcPr>
          <w:p>
            <w:pPr>
              <w:pStyle w:val="53"/>
            </w:pPr>
          </w:p>
        </w:tc>
        <w:tc>
          <w:tcPr>
            <w:tcW w:w="406" w:type="pct"/>
            <w:vMerge w:val="continue"/>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restart"/>
            <w:tcMar>
              <w:top w:w="14" w:type="dxa"/>
              <w:left w:w="14" w:type="dxa"/>
              <w:bottom w:w="0" w:type="dxa"/>
              <w:right w:w="14" w:type="dxa"/>
            </w:tcMar>
            <w:vAlign w:val="center"/>
          </w:tcPr>
          <w:p>
            <w:pPr>
              <w:pStyle w:val="53"/>
            </w:pPr>
            <w:r>
              <w:t>临时</w:t>
            </w:r>
          </w:p>
          <w:p>
            <w:pPr>
              <w:pStyle w:val="53"/>
            </w:pPr>
            <w:r>
              <w:t>工程区</w:t>
            </w:r>
          </w:p>
        </w:tc>
        <w:tc>
          <w:tcPr>
            <w:tcW w:w="1138" w:type="pct"/>
            <w:tcMar>
              <w:top w:w="14" w:type="dxa"/>
              <w:left w:w="14" w:type="dxa"/>
              <w:bottom w:w="0" w:type="dxa"/>
              <w:right w:w="14" w:type="dxa"/>
            </w:tcMar>
            <w:vAlign w:val="center"/>
          </w:tcPr>
          <w:p>
            <w:pPr>
              <w:pStyle w:val="53"/>
            </w:pPr>
            <w:r>
              <w:t>施工场地</w:t>
            </w:r>
          </w:p>
        </w:tc>
        <w:tc>
          <w:tcPr>
            <w:tcW w:w="975" w:type="pct"/>
            <w:tcMar>
              <w:top w:w="14" w:type="dxa"/>
              <w:left w:w="14" w:type="dxa"/>
              <w:bottom w:w="0" w:type="dxa"/>
              <w:right w:w="14" w:type="dxa"/>
            </w:tcMar>
            <w:vAlign w:val="center"/>
          </w:tcPr>
          <w:p>
            <w:pPr>
              <w:pStyle w:val="53"/>
            </w:pPr>
            <w:r>
              <w:t>（0.12）</w:t>
            </w:r>
          </w:p>
        </w:tc>
        <w:tc>
          <w:tcPr>
            <w:tcW w:w="744" w:type="pct"/>
            <w:vAlign w:val="center"/>
          </w:tcPr>
          <w:p>
            <w:pPr>
              <w:pStyle w:val="53"/>
            </w:pPr>
            <w:r>
              <w:t>/</w:t>
            </w:r>
          </w:p>
        </w:tc>
        <w:tc>
          <w:tcPr>
            <w:tcW w:w="572" w:type="pct"/>
            <w:vAlign w:val="center"/>
          </w:tcPr>
          <w:p>
            <w:pPr>
              <w:pStyle w:val="53"/>
            </w:pPr>
            <w:r>
              <w:t>（0.12）</w:t>
            </w:r>
          </w:p>
        </w:tc>
        <w:tc>
          <w:tcPr>
            <w:tcW w:w="483" w:type="pct"/>
            <w:tcMar>
              <w:top w:w="14" w:type="dxa"/>
              <w:left w:w="14" w:type="dxa"/>
              <w:bottom w:w="0" w:type="dxa"/>
              <w:right w:w="14" w:type="dxa"/>
            </w:tcMar>
            <w:vAlign w:val="center"/>
          </w:tcPr>
          <w:p>
            <w:pPr>
              <w:pStyle w:val="53"/>
            </w:pPr>
            <w:r>
              <w:t>（0.12）</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施工便道</w:t>
            </w:r>
          </w:p>
        </w:tc>
        <w:tc>
          <w:tcPr>
            <w:tcW w:w="975" w:type="pct"/>
            <w:tcMar>
              <w:top w:w="14" w:type="dxa"/>
              <w:left w:w="14" w:type="dxa"/>
              <w:bottom w:w="0" w:type="dxa"/>
              <w:right w:w="14" w:type="dxa"/>
            </w:tcMar>
            <w:vAlign w:val="center"/>
          </w:tcPr>
          <w:p>
            <w:pPr>
              <w:pStyle w:val="53"/>
            </w:pPr>
            <w:r>
              <w:t>（0.30）</w:t>
            </w:r>
          </w:p>
        </w:tc>
        <w:tc>
          <w:tcPr>
            <w:tcW w:w="744" w:type="pct"/>
            <w:vAlign w:val="center"/>
          </w:tcPr>
          <w:p>
            <w:pPr>
              <w:pStyle w:val="53"/>
            </w:pPr>
            <w:r>
              <w:t>/</w:t>
            </w:r>
          </w:p>
        </w:tc>
        <w:tc>
          <w:tcPr>
            <w:tcW w:w="572" w:type="pct"/>
            <w:vAlign w:val="center"/>
          </w:tcPr>
          <w:p>
            <w:pPr>
              <w:pStyle w:val="53"/>
            </w:pPr>
            <w:r>
              <w:t>（0.30）</w:t>
            </w:r>
          </w:p>
        </w:tc>
        <w:tc>
          <w:tcPr>
            <w:tcW w:w="483" w:type="pct"/>
            <w:tcMar>
              <w:top w:w="14" w:type="dxa"/>
              <w:left w:w="14" w:type="dxa"/>
              <w:bottom w:w="0" w:type="dxa"/>
              <w:right w:w="14" w:type="dxa"/>
            </w:tcMar>
            <w:vAlign w:val="center"/>
          </w:tcPr>
          <w:p>
            <w:pPr>
              <w:pStyle w:val="53"/>
            </w:pPr>
            <w:r>
              <w:t>（0.30）</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2号临时堆土场</w:t>
            </w:r>
          </w:p>
        </w:tc>
        <w:tc>
          <w:tcPr>
            <w:tcW w:w="975" w:type="pct"/>
            <w:tcMar>
              <w:top w:w="14" w:type="dxa"/>
              <w:left w:w="14" w:type="dxa"/>
              <w:bottom w:w="0" w:type="dxa"/>
              <w:right w:w="14" w:type="dxa"/>
            </w:tcMar>
            <w:vAlign w:val="center"/>
          </w:tcPr>
          <w:p>
            <w:pPr>
              <w:pStyle w:val="53"/>
            </w:pPr>
            <w:r>
              <w:t>（0.56）</w:t>
            </w:r>
          </w:p>
        </w:tc>
        <w:tc>
          <w:tcPr>
            <w:tcW w:w="744" w:type="pct"/>
            <w:vAlign w:val="center"/>
          </w:tcPr>
          <w:p>
            <w:pPr>
              <w:pStyle w:val="53"/>
            </w:pPr>
            <w:r>
              <w:t>/</w:t>
            </w:r>
          </w:p>
        </w:tc>
        <w:tc>
          <w:tcPr>
            <w:tcW w:w="572" w:type="pct"/>
            <w:vAlign w:val="center"/>
          </w:tcPr>
          <w:p>
            <w:pPr>
              <w:pStyle w:val="53"/>
            </w:pPr>
            <w:r>
              <w:t>（0.56）</w:t>
            </w:r>
          </w:p>
        </w:tc>
        <w:tc>
          <w:tcPr>
            <w:tcW w:w="483" w:type="pct"/>
            <w:tcMar>
              <w:top w:w="14" w:type="dxa"/>
              <w:left w:w="14" w:type="dxa"/>
              <w:bottom w:w="0" w:type="dxa"/>
              <w:right w:w="14" w:type="dxa"/>
            </w:tcMar>
            <w:vAlign w:val="center"/>
          </w:tcPr>
          <w:p>
            <w:pPr>
              <w:pStyle w:val="53"/>
            </w:pPr>
            <w:r>
              <w:t>（0.56）</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1528" w:type="pct"/>
            <w:gridSpan w:val="2"/>
            <w:tcMar>
              <w:top w:w="14" w:type="dxa"/>
              <w:left w:w="14" w:type="dxa"/>
              <w:bottom w:w="0" w:type="dxa"/>
              <w:right w:w="14" w:type="dxa"/>
            </w:tcMar>
            <w:vAlign w:val="center"/>
          </w:tcPr>
          <w:p>
            <w:pPr>
              <w:pStyle w:val="53"/>
            </w:pPr>
            <w:r>
              <w:t>小计</w:t>
            </w:r>
          </w:p>
        </w:tc>
        <w:tc>
          <w:tcPr>
            <w:tcW w:w="975" w:type="pct"/>
            <w:tcMar>
              <w:top w:w="14" w:type="dxa"/>
              <w:left w:w="14" w:type="dxa"/>
              <w:bottom w:w="0" w:type="dxa"/>
              <w:right w:w="14" w:type="dxa"/>
            </w:tcMar>
            <w:vAlign w:val="center"/>
          </w:tcPr>
          <w:p>
            <w:pPr>
              <w:pStyle w:val="53"/>
            </w:pPr>
            <w:r>
              <w:t>4.84</w:t>
            </w:r>
          </w:p>
        </w:tc>
        <w:tc>
          <w:tcPr>
            <w:tcW w:w="744" w:type="pct"/>
            <w:tcMar>
              <w:top w:w="14" w:type="dxa"/>
              <w:left w:w="14" w:type="dxa"/>
              <w:bottom w:w="0" w:type="dxa"/>
              <w:right w:w="14" w:type="dxa"/>
            </w:tcMar>
            <w:vAlign w:val="center"/>
          </w:tcPr>
          <w:p>
            <w:pPr>
              <w:pStyle w:val="53"/>
            </w:pPr>
            <w:r>
              <w:t>0.13</w:t>
            </w:r>
          </w:p>
        </w:tc>
        <w:tc>
          <w:tcPr>
            <w:tcW w:w="572" w:type="pct"/>
            <w:tcMar>
              <w:top w:w="14" w:type="dxa"/>
              <w:left w:w="14" w:type="dxa"/>
              <w:bottom w:w="0" w:type="dxa"/>
              <w:right w:w="14" w:type="dxa"/>
            </w:tcMar>
            <w:vAlign w:val="center"/>
          </w:tcPr>
          <w:p>
            <w:pPr>
              <w:pStyle w:val="53"/>
            </w:pPr>
            <w:r>
              <w:t>4.97</w:t>
            </w:r>
          </w:p>
        </w:tc>
        <w:tc>
          <w:tcPr>
            <w:tcW w:w="483" w:type="pct"/>
            <w:tcMar>
              <w:top w:w="14" w:type="dxa"/>
              <w:left w:w="14" w:type="dxa"/>
              <w:bottom w:w="0" w:type="dxa"/>
              <w:right w:w="14" w:type="dxa"/>
            </w:tcMar>
            <w:vAlign w:val="center"/>
          </w:tcPr>
          <w:p>
            <w:pPr>
              <w:pStyle w:val="53"/>
            </w:pPr>
            <w:r>
              <w:t>4.97</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818" w:type="pct"/>
            <w:gridSpan w:val="3"/>
            <w:vAlign w:val="center"/>
          </w:tcPr>
          <w:p>
            <w:pPr>
              <w:pStyle w:val="53"/>
            </w:pPr>
            <w:r>
              <w:t>东西区之间道路</w:t>
            </w:r>
          </w:p>
        </w:tc>
        <w:tc>
          <w:tcPr>
            <w:tcW w:w="975" w:type="pct"/>
            <w:tcMar>
              <w:top w:w="14" w:type="dxa"/>
              <w:left w:w="14" w:type="dxa"/>
              <w:bottom w:w="0" w:type="dxa"/>
              <w:right w:w="14" w:type="dxa"/>
            </w:tcMar>
            <w:vAlign w:val="center"/>
          </w:tcPr>
          <w:p>
            <w:pPr>
              <w:pStyle w:val="53"/>
            </w:pPr>
            <w:r>
              <w:t>/</w:t>
            </w:r>
          </w:p>
        </w:tc>
        <w:tc>
          <w:tcPr>
            <w:tcW w:w="744" w:type="pct"/>
            <w:tcMar>
              <w:top w:w="14" w:type="dxa"/>
              <w:left w:w="14" w:type="dxa"/>
              <w:bottom w:w="0" w:type="dxa"/>
              <w:right w:w="14" w:type="dxa"/>
            </w:tcMar>
            <w:vAlign w:val="center"/>
          </w:tcPr>
          <w:p>
            <w:pPr>
              <w:pStyle w:val="53"/>
            </w:pPr>
            <w:r>
              <w:t>0.88</w:t>
            </w:r>
          </w:p>
        </w:tc>
        <w:tc>
          <w:tcPr>
            <w:tcW w:w="572" w:type="pct"/>
            <w:tcMar>
              <w:top w:w="14" w:type="dxa"/>
              <w:left w:w="14" w:type="dxa"/>
              <w:bottom w:w="0" w:type="dxa"/>
              <w:right w:w="14" w:type="dxa"/>
            </w:tcMar>
            <w:vAlign w:val="center"/>
          </w:tcPr>
          <w:p>
            <w:pPr>
              <w:pStyle w:val="53"/>
            </w:pPr>
            <w:r>
              <w:t>0.88</w:t>
            </w:r>
          </w:p>
        </w:tc>
        <w:tc>
          <w:tcPr>
            <w:tcW w:w="483" w:type="pct"/>
            <w:tcMar>
              <w:top w:w="14" w:type="dxa"/>
              <w:left w:w="14" w:type="dxa"/>
              <w:bottom w:w="0" w:type="dxa"/>
              <w:right w:w="14" w:type="dxa"/>
            </w:tcMar>
            <w:vAlign w:val="center"/>
          </w:tcPr>
          <w:p>
            <w:pPr>
              <w:pStyle w:val="53"/>
            </w:pPr>
            <w:r>
              <w:t>0.88</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restart"/>
            <w:vAlign w:val="center"/>
          </w:tcPr>
          <w:p>
            <w:pPr>
              <w:pStyle w:val="53"/>
            </w:pPr>
            <w:r>
              <w:t>合计</w:t>
            </w:r>
          </w:p>
        </w:tc>
        <w:tc>
          <w:tcPr>
            <w:tcW w:w="390" w:type="pct"/>
            <w:vMerge w:val="restart"/>
            <w:tcMar>
              <w:top w:w="14" w:type="dxa"/>
              <w:left w:w="14" w:type="dxa"/>
              <w:bottom w:w="0" w:type="dxa"/>
              <w:right w:w="14" w:type="dxa"/>
            </w:tcMar>
            <w:vAlign w:val="center"/>
          </w:tcPr>
          <w:p>
            <w:pPr>
              <w:pStyle w:val="53"/>
            </w:pPr>
            <w:r>
              <w:t>主体</w:t>
            </w:r>
          </w:p>
          <w:p>
            <w:pPr>
              <w:pStyle w:val="53"/>
            </w:pPr>
            <w:r>
              <w:t>工程区</w:t>
            </w:r>
          </w:p>
        </w:tc>
        <w:tc>
          <w:tcPr>
            <w:tcW w:w="1138" w:type="pct"/>
            <w:tcMar>
              <w:top w:w="14" w:type="dxa"/>
              <w:left w:w="14" w:type="dxa"/>
              <w:bottom w:w="0" w:type="dxa"/>
              <w:right w:w="14" w:type="dxa"/>
            </w:tcMar>
            <w:vAlign w:val="center"/>
          </w:tcPr>
          <w:p>
            <w:pPr>
              <w:pStyle w:val="53"/>
            </w:pPr>
            <w:r>
              <w:t>建筑物区</w:t>
            </w:r>
          </w:p>
        </w:tc>
        <w:tc>
          <w:tcPr>
            <w:tcW w:w="975" w:type="pct"/>
            <w:tcMar>
              <w:top w:w="14" w:type="dxa"/>
              <w:left w:w="14" w:type="dxa"/>
              <w:bottom w:w="0" w:type="dxa"/>
              <w:right w:w="14" w:type="dxa"/>
            </w:tcMar>
            <w:vAlign w:val="center"/>
          </w:tcPr>
          <w:p>
            <w:pPr>
              <w:pStyle w:val="53"/>
            </w:pPr>
            <w:r>
              <w:t>4.09</w:t>
            </w:r>
          </w:p>
        </w:tc>
        <w:tc>
          <w:tcPr>
            <w:tcW w:w="744" w:type="pct"/>
            <w:vMerge w:val="restart"/>
            <w:tcMar>
              <w:top w:w="14" w:type="dxa"/>
              <w:left w:w="14" w:type="dxa"/>
              <w:bottom w:w="0" w:type="dxa"/>
              <w:right w:w="14" w:type="dxa"/>
            </w:tcMar>
            <w:vAlign w:val="center"/>
          </w:tcPr>
          <w:p>
            <w:pPr>
              <w:pStyle w:val="53"/>
            </w:pPr>
            <w:r>
              <w:t>1.31</w:t>
            </w:r>
          </w:p>
        </w:tc>
        <w:tc>
          <w:tcPr>
            <w:tcW w:w="572" w:type="pct"/>
            <w:vMerge w:val="restart"/>
            <w:tcMar>
              <w:top w:w="14" w:type="dxa"/>
              <w:left w:w="14" w:type="dxa"/>
              <w:bottom w:w="0" w:type="dxa"/>
              <w:right w:w="14" w:type="dxa"/>
            </w:tcMar>
            <w:vAlign w:val="center"/>
          </w:tcPr>
          <w:p>
            <w:pPr>
              <w:pStyle w:val="53"/>
            </w:pPr>
            <w:r>
              <w:t>19.91</w:t>
            </w:r>
          </w:p>
        </w:tc>
        <w:tc>
          <w:tcPr>
            <w:tcW w:w="483" w:type="pct"/>
            <w:vMerge w:val="restart"/>
            <w:tcMar>
              <w:top w:w="14" w:type="dxa"/>
              <w:left w:w="14" w:type="dxa"/>
              <w:bottom w:w="0" w:type="dxa"/>
              <w:right w:w="14" w:type="dxa"/>
            </w:tcMar>
            <w:vAlign w:val="center"/>
          </w:tcPr>
          <w:p>
            <w:pPr>
              <w:pStyle w:val="53"/>
            </w:pPr>
            <w:r>
              <w:rPr>
                <w:rFonts w:hint="eastAsia"/>
              </w:rPr>
              <w:t>19.89</w:t>
            </w:r>
          </w:p>
        </w:tc>
        <w:tc>
          <w:tcPr>
            <w:tcW w:w="406" w:type="pct"/>
            <w:vMerge w:val="restart"/>
            <w:tcMar>
              <w:top w:w="14" w:type="dxa"/>
              <w:left w:w="14" w:type="dxa"/>
              <w:bottom w:w="0" w:type="dxa"/>
              <w:right w:w="14" w:type="dxa"/>
            </w:tcMar>
            <w:vAlign w:val="center"/>
          </w:tcPr>
          <w:p>
            <w:pPr>
              <w:pStyle w:val="53"/>
            </w:pPr>
            <w:r>
              <w:rPr>
                <w:rFonts w:hint="eastAsia"/>
              </w:rPr>
              <w:t>-0.02</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道路及硬化场地区</w:t>
            </w:r>
          </w:p>
        </w:tc>
        <w:tc>
          <w:tcPr>
            <w:tcW w:w="975" w:type="pct"/>
            <w:tcMar>
              <w:top w:w="14" w:type="dxa"/>
              <w:left w:w="14" w:type="dxa"/>
              <w:bottom w:w="0" w:type="dxa"/>
              <w:right w:w="14" w:type="dxa"/>
            </w:tcMar>
            <w:vAlign w:val="center"/>
          </w:tcPr>
          <w:p>
            <w:pPr>
              <w:pStyle w:val="53"/>
            </w:pPr>
            <w:r>
              <w:t>7.93</w:t>
            </w:r>
          </w:p>
        </w:tc>
        <w:tc>
          <w:tcPr>
            <w:tcW w:w="744" w:type="pct"/>
            <w:vMerge w:val="continue"/>
            <w:vAlign w:val="center"/>
          </w:tcPr>
          <w:p>
            <w:pPr>
              <w:pStyle w:val="53"/>
            </w:pPr>
          </w:p>
        </w:tc>
        <w:tc>
          <w:tcPr>
            <w:tcW w:w="572" w:type="pct"/>
            <w:vMerge w:val="continue"/>
            <w:vAlign w:val="center"/>
          </w:tcPr>
          <w:p>
            <w:pPr>
              <w:pStyle w:val="53"/>
            </w:pPr>
          </w:p>
        </w:tc>
        <w:tc>
          <w:tcPr>
            <w:tcW w:w="483" w:type="pct"/>
            <w:vMerge w:val="continue"/>
            <w:tcMar>
              <w:top w:w="14" w:type="dxa"/>
              <w:left w:w="14" w:type="dxa"/>
              <w:bottom w:w="0" w:type="dxa"/>
              <w:right w:w="14" w:type="dxa"/>
            </w:tcMar>
            <w:vAlign w:val="center"/>
          </w:tcPr>
          <w:p>
            <w:pPr>
              <w:pStyle w:val="53"/>
            </w:pPr>
          </w:p>
        </w:tc>
        <w:tc>
          <w:tcPr>
            <w:tcW w:w="406" w:type="pct"/>
            <w:vMerge w:val="continue"/>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绿化区</w:t>
            </w:r>
          </w:p>
        </w:tc>
        <w:tc>
          <w:tcPr>
            <w:tcW w:w="975" w:type="pct"/>
            <w:tcMar>
              <w:top w:w="14" w:type="dxa"/>
              <w:left w:w="14" w:type="dxa"/>
              <w:bottom w:w="0" w:type="dxa"/>
              <w:right w:w="14" w:type="dxa"/>
            </w:tcMar>
            <w:vAlign w:val="center"/>
          </w:tcPr>
          <w:p>
            <w:pPr>
              <w:pStyle w:val="53"/>
            </w:pPr>
            <w:r>
              <w:t>6.58</w:t>
            </w:r>
          </w:p>
        </w:tc>
        <w:tc>
          <w:tcPr>
            <w:tcW w:w="744" w:type="pct"/>
            <w:vMerge w:val="continue"/>
            <w:vAlign w:val="center"/>
          </w:tcPr>
          <w:p>
            <w:pPr>
              <w:pStyle w:val="53"/>
            </w:pPr>
          </w:p>
        </w:tc>
        <w:tc>
          <w:tcPr>
            <w:tcW w:w="572" w:type="pct"/>
            <w:vMerge w:val="continue"/>
            <w:vAlign w:val="center"/>
          </w:tcPr>
          <w:p>
            <w:pPr>
              <w:pStyle w:val="53"/>
            </w:pPr>
          </w:p>
        </w:tc>
        <w:tc>
          <w:tcPr>
            <w:tcW w:w="483" w:type="pct"/>
            <w:vMerge w:val="continue"/>
            <w:tcMar>
              <w:top w:w="14" w:type="dxa"/>
              <w:left w:w="14" w:type="dxa"/>
              <w:bottom w:w="0" w:type="dxa"/>
              <w:right w:w="14" w:type="dxa"/>
            </w:tcMar>
            <w:vAlign w:val="center"/>
          </w:tcPr>
          <w:p>
            <w:pPr>
              <w:pStyle w:val="53"/>
            </w:pPr>
          </w:p>
        </w:tc>
        <w:tc>
          <w:tcPr>
            <w:tcW w:w="406" w:type="pct"/>
            <w:vMerge w:val="continue"/>
            <w:tcMar>
              <w:top w:w="14" w:type="dxa"/>
              <w:left w:w="14" w:type="dxa"/>
              <w:bottom w:w="0" w:type="dxa"/>
              <w:right w:w="14" w:type="dxa"/>
            </w:tcMar>
            <w:vAlign w:val="center"/>
          </w:tcPr>
          <w:p>
            <w:pPr>
              <w:pStyle w:val="53"/>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restart"/>
            <w:tcMar>
              <w:top w:w="14" w:type="dxa"/>
              <w:left w:w="14" w:type="dxa"/>
              <w:bottom w:w="0" w:type="dxa"/>
              <w:right w:w="14" w:type="dxa"/>
            </w:tcMar>
            <w:vAlign w:val="center"/>
          </w:tcPr>
          <w:p>
            <w:pPr>
              <w:pStyle w:val="53"/>
            </w:pPr>
            <w:r>
              <w:t>临时</w:t>
            </w:r>
          </w:p>
          <w:p>
            <w:pPr>
              <w:pStyle w:val="53"/>
            </w:pPr>
            <w:r>
              <w:t>工程区</w:t>
            </w:r>
          </w:p>
        </w:tc>
        <w:tc>
          <w:tcPr>
            <w:tcW w:w="1138" w:type="pct"/>
            <w:tcMar>
              <w:top w:w="14" w:type="dxa"/>
              <w:left w:w="14" w:type="dxa"/>
              <w:bottom w:w="0" w:type="dxa"/>
              <w:right w:w="14" w:type="dxa"/>
            </w:tcMar>
            <w:vAlign w:val="center"/>
          </w:tcPr>
          <w:p>
            <w:pPr>
              <w:pStyle w:val="53"/>
            </w:pPr>
            <w:r>
              <w:t>施工场地</w:t>
            </w:r>
          </w:p>
        </w:tc>
        <w:tc>
          <w:tcPr>
            <w:tcW w:w="975" w:type="pct"/>
            <w:tcMar>
              <w:top w:w="14" w:type="dxa"/>
              <w:left w:w="14" w:type="dxa"/>
              <w:bottom w:w="0" w:type="dxa"/>
              <w:right w:w="14" w:type="dxa"/>
            </w:tcMar>
            <w:vAlign w:val="center"/>
          </w:tcPr>
          <w:p>
            <w:pPr>
              <w:pStyle w:val="53"/>
            </w:pPr>
            <w:r>
              <w:t>（0.37）</w:t>
            </w:r>
          </w:p>
        </w:tc>
        <w:tc>
          <w:tcPr>
            <w:tcW w:w="744" w:type="pct"/>
            <w:vAlign w:val="center"/>
          </w:tcPr>
          <w:p>
            <w:pPr>
              <w:pStyle w:val="53"/>
            </w:pPr>
            <w:r>
              <w:t>/</w:t>
            </w:r>
          </w:p>
        </w:tc>
        <w:tc>
          <w:tcPr>
            <w:tcW w:w="572" w:type="pct"/>
            <w:vAlign w:val="center"/>
          </w:tcPr>
          <w:p>
            <w:pPr>
              <w:pStyle w:val="53"/>
            </w:pPr>
            <w:r>
              <w:t>（0.37）</w:t>
            </w:r>
          </w:p>
        </w:tc>
        <w:tc>
          <w:tcPr>
            <w:tcW w:w="483" w:type="pct"/>
            <w:tcMar>
              <w:top w:w="14" w:type="dxa"/>
              <w:left w:w="14" w:type="dxa"/>
              <w:bottom w:w="0" w:type="dxa"/>
              <w:right w:w="14" w:type="dxa"/>
            </w:tcMar>
            <w:vAlign w:val="center"/>
          </w:tcPr>
          <w:p>
            <w:pPr>
              <w:pStyle w:val="53"/>
            </w:pPr>
            <w:r>
              <w:t>（0.37）</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施工便道</w:t>
            </w:r>
          </w:p>
        </w:tc>
        <w:tc>
          <w:tcPr>
            <w:tcW w:w="975" w:type="pct"/>
            <w:tcMar>
              <w:top w:w="14" w:type="dxa"/>
              <w:left w:w="14" w:type="dxa"/>
              <w:bottom w:w="0" w:type="dxa"/>
              <w:right w:w="14" w:type="dxa"/>
            </w:tcMar>
            <w:vAlign w:val="center"/>
          </w:tcPr>
          <w:p>
            <w:pPr>
              <w:pStyle w:val="53"/>
            </w:pPr>
            <w:r>
              <w:t>（0.76）</w:t>
            </w:r>
          </w:p>
        </w:tc>
        <w:tc>
          <w:tcPr>
            <w:tcW w:w="744" w:type="pct"/>
            <w:vAlign w:val="center"/>
          </w:tcPr>
          <w:p>
            <w:pPr>
              <w:pStyle w:val="53"/>
            </w:pPr>
            <w:r>
              <w:t>/</w:t>
            </w:r>
          </w:p>
        </w:tc>
        <w:tc>
          <w:tcPr>
            <w:tcW w:w="572" w:type="pct"/>
            <w:vAlign w:val="center"/>
          </w:tcPr>
          <w:p>
            <w:pPr>
              <w:pStyle w:val="53"/>
            </w:pPr>
            <w:r>
              <w:t>（0.76）</w:t>
            </w:r>
          </w:p>
        </w:tc>
        <w:tc>
          <w:tcPr>
            <w:tcW w:w="483" w:type="pct"/>
            <w:tcMar>
              <w:top w:w="14" w:type="dxa"/>
              <w:left w:w="14" w:type="dxa"/>
              <w:bottom w:w="0" w:type="dxa"/>
              <w:right w:w="14" w:type="dxa"/>
            </w:tcMar>
            <w:vAlign w:val="center"/>
          </w:tcPr>
          <w:p>
            <w:pPr>
              <w:pStyle w:val="53"/>
            </w:pPr>
            <w:r>
              <w:t>（0.76）</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390" w:type="pct"/>
            <w:vMerge w:val="continue"/>
            <w:vAlign w:val="center"/>
          </w:tcPr>
          <w:p>
            <w:pPr>
              <w:pStyle w:val="53"/>
            </w:pPr>
          </w:p>
        </w:tc>
        <w:tc>
          <w:tcPr>
            <w:tcW w:w="1138" w:type="pct"/>
            <w:tcMar>
              <w:top w:w="14" w:type="dxa"/>
              <w:left w:w="14" w:type="dxa"/>
              <w:bottom w:w="0" w:type="dxa"/>
              <w:right w:w="14" w:type="dxa"/>
            </w:tcMar>
            <w:vAlign w:val="center"/>
          </w:tcPr>
          <w:p>
            <w:pPr>
              <w:pStyle w:val="53"/>
            </w:pPr>
            <w:r>
              <w:t>临时堆土场</w:t>
            </w:r>
          </w:p>
        </w:tc>
        <w:tc>
          <w:tcPr>
            <w:tcW w:w="975" w:type="pct"/>
            <w:tcMar>
              <w:top w:w="14" w:type="dxa"/>
              <w:left w:w="14" w:type="dxa"/>
              <w:bottom w:w="0" w:type="dxa"/>
              <w:right w:w="14" w:type="dxa"/>
            </w:tcMar>
            <w:vAlign w:val="center"/>
          </w:tcPr>
          <w:p>
            <w:pPr>
              <w:pStyle w:val="53"/>
            </w:pPr>
            <w:r>
              <w:t>（1.66）</w:t>
            </w:r>
          </w:p>
        </w:tc>
        <w:tc>
          <w:tcPr>
            <w:tcW w:w="744" w:type="pct"/>
            <w:vAlign w:val="center"/>
          </w:tcPr>
          <w:p>
            <w:pPr>
              <w:pStyle w:val="53"/>
            </w:pPr>
            <w:r>
              <w:t>/</w:t>
            </w:r>
          </w:p>
        </w:tc>
        <w:tc>
          <w:tcPr>
            <w:tcW w:w="572" w:type="pct"/>
            <w:vAlign w:val="center"/>
          </w:tcPr>
          <w:p>
            <w:pPr>
              <w:pStyle w:val="53"/>
            </w:pPr>
            <w:r>
              <w:t>（1.66）</w:t>
            </w:r>
          </w:p>
        </w:tc>
        <w:tc>
          <w:tcPr>
            <w:tcW w:w="483" w:type="pct"/>
            <w:tcMar>
              <w:top w:w="14" w:type="dxa"/>
              <w:left w:w="14" w:type="dxa"/>
              <w:bottom w:w="0" w:type="dxa"/>
              <w:right w:w="14" w:type="dxa"/>
            </w:tcMar>
            <w:vAlign w:val="center"/>
          </w:tcPr>
          <w:p>
            <w:pPr>
              <w:pStyle w:val="53"/>
            </w:pPr>
            <w:r>
              <w:t>（1.66）</w:t>
            </w:r>
          </w:p>
        </w:tc>
        <w:tc>
          <w:tcPr>
            <w:tcW w:w="406" w:type="pct"/>
            <w:tcMar>
              <w:top w:w="14" w:type="dxa"/>
              <w:left w:w="14" w:type="dxa"/>
              <w:bottom w:w="0" w:type="dxa"/>
              <w:right w:w="14" w:type="dxa"/>
            </w:tcMar>
            <w:vAlign w:val="center"/>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89" w:type="pct"/>
            <w:vMerge w:val="continue"/>
            <w:vAlign w:val="center"/>
          </w:tcPr>
          <w:p>
            <w:pPr>
              <w:pStyle w:val="53"/>
            </w:pPr>
          </w:p>
        </w:tc>
        <w:tc>
          <w:tcPr>
            <w:tcW w:w="1528" w:type="pct"/>
            <w:gridSpan w:val="2"/>
            <w:tcMar>
              <w:top w:w="14" w:type="dxa"/>
              <w:left w:w="14" w:type="dxa"/>
              <w:bottom w:w="0" w:type="dxa"/>
              <w:right w:w="14" w:type="dxa"/>
            </w:tcMar>
            <w:vAlign w:val="center"/>
          </w:tcPr>
          <w:p>
            <w:pPr>
              <w:pStyle w:val="53"/>
            </w:pPr>
            <w:r>
              <w:t>小计</w:t>
            </w:r>
          </w:p>
        </w:tc>
        <w:tc>
          <w:tcPr>
            <w:tcW w:w="975" w:type="pct"/>
            <w:tcMar>
              <w:top w:w="14" w:type="dxa"/>
              <w:left w:w="14" w:type="dxa"/>
              <w:bottom w:w="0" w:type="dxa"/>
              <w:right w:w="14" w:type="dxa"/>
            </w:tcMar>
            <w:vAlign w:val="center"/>
          </w:tcPr>
          <w:p>
            <w:pPr>
              <w:pStyle w:val="53"/>
            </w:pPr>
            <w:r>
              <w:t>18.60</w:t>
            </w:r>
          </w:p>
        </w:tc>
        <w:tc>
          <w:tcPr>
            <w:tcW w:w="744" w:type="pct"/>
            <w:tcMar>
              <w:top w:w="14" w:type="dxa"/>
              <w:left w:w="14" w:type="dxa"/>
              <w:bottom w:w="0" w:type="dxa"/>
              <w:right w:w="14" w:type="dxa"/>
            </w:tcMar>
            <w:vAlign w:val="center"/>
          </w:tcPr>
          <w:p>
            <w:pPr>
              <w:pStyle w:val="53"/>
            </w:pPr>
            <w:r>
              <w:t>1.31</w:t>
            </w:r>
          </w:p>
        </w:tc>
        <w:tc>
          <w:tcPr>
            <w:tcW w:w="572" w:type="pct"/>
            <w:tcMar>
              <w:top w:w="14" w:type="dxa"/>
              <w:left w:w="14" w:type="dxa"/>
              <w:bottom w:w="0" w:type="dxa"/>
              <w:right w:w="14" w:type="dxa"/>
            </w:tcMar>
            <w:vAlign w:val="center"/>
          </w:tcPr>
          <w:p>
            <w:pPr>
              <w:pStyle w:val="53"/>
            </w:pPr>
            <w:r>
              <w:t>19.91</w:t>
            </w:r>
          </w:p>
        </w:tc>
        <w:tc>
          <w:tcPr>
            <w:tcW w:w="483" w:type="pct"/>
            <w:tcMar>
              <w:top w:w="14" w:type="dxa"/>
              <w:left w:w="14" w:type="dxa"/>
              <w:bottom w:w="0" w:type="dxa"/>
              <w:right w:w="14" w:type="dxa"/>
            </w:tcMar>
            <w:vAlign w:val="center"/>
          </w:tcPr>
          <w:p>
            <w:pPr>
              <w:pStyle w:val="53"/>
            </w:pPr>
            <w:r>
              <w:rPr>
                <w:rFonts w:hint="eastAsia"/>
              </w:rPr>
              <w:t>19.89</w:t>
            </w:r>
          </w:p>
        </w:tc>
        <w:tc>
          <w:tcPr>
            <w:tcW w:w="406" w:type="pct"/>
            <w:tcMar>
              <w:top w:w="14" w:type="dxa"/>
              <w:left w:w="14" w:type="dxa"/>
              <w:bottom w:w="0" w:type="dxa"/>
              <w:right w:w="14" w:type="dxa"/>
            </w:tcMar>
            <w:vAlign w:val="center"/>
          </w:tcPr>
          <w:p>
            <w:pPr>
              <w:pStyle w:val="53"/>
            </w:pPr>
            <w:r>
              <w:rPr>
                <w:rFonts w:hint="eastAsia"/>
              </w:rPr>
              <w:t>-0.02</w:t>
            </w:r>
          </w:p>
        </w:tc>
      </w:tr>
    </w:tbl>
    <w:p>
      <w:pPr>
        <w:pStyle w:val="61"/>
        <w:spacing w:before="95" w:after="95" w:line="360" w:lineRule="auto"/>
        <w:ind w:firstLine="480"/>
      </w:pPr>
    </w:p>
    <w:p>
      <w:pPr>
        <w:pStyle w:val="61"/>
        <w:spacing w:before="95" w:after="95" w:line="360" w:lineRule="auto"/>
        <w:ind w:firstLine="480"/>
      </w:pPr>
    </w:p>
    <w:p>
      <w:pPr>
        <w:pStyle w:val="61"/>
        <w:spacing w:before="95" w:after="95" w:line="360" w:lineRule="auto"/>
        <w:ind w:firstLine="480"/>
      </w:pPr>
    </w:p>
    <w:p>
      <w:pPr>
        <w:pStyle w:val="61"/>
        <w:spacing w:before="95" w:after="95" w:line="360" w:lineRule="auto"/>
        <w:ind w:firstLine="480"/>
      </w:pPr>
      <w:r>
        <w:t>工程实际建设中布设了排水及</w:t>
      </w:r>
      <w:r>
        <w:rPr>
          <w:rFonts w:hint="eastAsia"/>
        </w:rPr>
        <w:t>围挡</w:t>
      </w:r>
      <w:r>
        <w:t>措施，</w:t>
      </w:r>
      <w:r>
        <w:rPr>
          <w:rFonts w:hint="eastAsia"/>
        </w:rPr>
        <w:t>施工区域</w:t>
      </w:r>
      <w:r>
        <w:t>布设</w:t>
      </w:r>
      <w:r>
        <w:rPr>
          <w:rFonts w:hint="eastAsia"/>
        </w:rPr>
        <w:t>了施工</w:t>
      </w:r>
      <w:r>
        <w:t>围墙，工程施工扰动均发生在项目区红线范围内，</w:t>
      </w:r>
      <w:r>
        <w:rPr>
          <w:rFonts w:hint="eastAsia"/>
        </w:rPr>
        <w:t>故</w:t>
      </w:r>
      <w:r>
        <w:t>直接影响区</w:t>
      </w:r>
      <w:r>
        <w:rPr>
          <w:rFonts w:hint="eastAsia"/>
        </w:rPr>
        <w:t>有所减少</w:t>
      </w:r>
      <w:r>
        <w:t>。</w:t>
      </w:r>
    </w:p>
    <w:p>
      <w:pPr>
        <w:pStyle w:val="61"/>
        <w:spacing w:before="95" w:after="95" w:line="360" w:lineRule="auto"/>
        <w:ind w:firstLine="480"/>
        <w:rPr>
          <w:rFonts w:eastAsia="仿宋_GB2312"/>
        </w:rPr>
      </w:pPr>
      <w:r>
        <w:rPr>
          <w:rFonts w:hint="eastAsia"/>
        </w:rPr>
        <w:t>各个分区的防治任范围面积都是依据工程的实际需要，尽量减少征占地为原则发生变化，水土流失防治责任范围有所减少，一定程度上减少了工程施工过程中对原地表的扰动及植被破坏，从而减少了水土流失的发生，从水土保持角度分析是有利的，故水土流失防治责任范围的变化是合理的。因此，转输管道和尾水管道的直接影响区各有一定程度的减少。</w:t>
      </w:r>
    </w:p>
    <w:p>
      <w:pPr>
        <w:pStyle w:val="4"/>
        <w:ind w:firstLine="562"/>
      </w:pPr>
      <w:bookmarkStart w:id="51" w:name="_Toc25692"/>
      <w:r>
        <w:rPr>
          <w:rFonts w:hint="eastAsia"/>
        </w:rPr>
        <w:t>3</w:t>
      </w:r>
      <w:r>
        <w:t>.</w:t>
      </w:r>
      <w:r>
        <w:rPr>
          <w:rFonts w:hint="eastAsia"/>
        </w:rPr>
        <w:t>2 取（弃）土场设置</w:t>
      </w:r>
      <w:bookmarkEnd w:id="51"/>
    </w:p>
    <w:p>
      <w:pPr>
        <w:ind w:firstLine="480"/>
        <w:rPr>
          <w:rFonts w:cs="仿宋"/>
          <w:kern w:val="0"/>
        </w:rPr>
      </w:pPr>
      <w:r>
        <w:rPr>
          <w:rFonts w:hint="eastAsia" w:cs="仿宋"/>
          <w:kern w:val="0"/>
        </w:rPr>
        <w:t>工程总开挖土方93.85万m³，回填方20.34万m³，废弃方73.51万m³，无外借土方。废弃方73.51 万m³运至庙山开发区花山吴村建筑垃圾消纳场处理。</w:t>
      </w:r>
    </w:p>
    <w:p>
      <w:pPr>
        <w:pStyle w:val="4"/>
        <w:ind w:firstLine="562"/>
      </w:pPr>
      <w:bookmarkStart w:id="52" w:name="_Toc8165"/>
      <w:bookmarkStart w:id="53" w:name="_Toc243104021"/>
      <w:bookmarkStart w:id="54" w:name="_Toc351644360"/>
      <w:bookmarkStart w:id="55" w:name="_Toc346008881"/>
      <w:r>
        <w:t>3.</w:t>
      </w:r>
      <w:r>
        <w:rPr>
          <w:rFonts w:hint="eastAsia"/>
        </w:rPr>
        <w:t>3</w:t>
      </w:r>
      <w:r>
        <w:t xml:space="preserve"> 水土保持设施完成情况</w:t>
      </w:r>
      <w:bookmarkEnd w:id="52"/>
    </w:p>
    <w:p>
      <w:pPr>
        <w:pStyle w:val="5"/>
        <w:ind w:firstLine="562"/>
      </w:pPr>
      <w:bookmarkStart w:id="56" w:name="_Toc529801406"/>
      <w:bookmarkStart w:id="57" w:name="_Toc412713532"/>
      <w:bookmarkStart w:id="58" w:name="_Toc529379719"/>
      <w:bookmarkStart w:id="59" w:name="_Toc21527"/>
      <w:r>
        <w:t>3.</w:t>
      </w:r>
      <w:r>
        <w:rPr>
          <w:rFonts w:hint="eastAsia"/>
        </w:rPr>
        <w:t>3</w:t>
      </w:r>
      <w:r>
        <w:t>.1 工程措施及实施进度</w:t>
      </w:r>
      <w:bookmarkEnd w:id="56"/>
      <w:bookmarkEnd w:id="57"/>
      <w:bookmarkEnd w:id="58"/>
      <w:bookmarkEnd w:id="59"/>
    </w:p>
    <w:p>
      <w:pPr>
        <w:ind w:firstLine="480"/>
        <w:rPr>
          <w:rFonts w:cs="仿宋"/>
        </w:rPr>
      </w:pPr>
      <w:r>
        <w:rPr>
          <w:rFonts w:hint="eastAsia"/>
        </w:rPr>
        <w:t>根据</w:t>
      </w:r>
      <w:r>
        <w:rPr>
          <w:rFonts w:hint="eastAsia"/>
          <w:lang w:val="zh-CN"/>
        </w:rPr>
        <w:t>楚天都市沁园建设项目</w:t>
      </w:r>
      <w:r>
        <w:rPr>
          <w:rFonts w:hint="eastAsia"/>
        </w:rPr>
        <w:t>实际施工情况，武汉楚天都市置业有限公司将水土保持措施纳入了主体工程的管理体系，水土保持建设与主体工程建设同步进行，按照水土保持方案和工程设计的技术要求组织施工。通过调查监测，水土保持工程措施从2015年7月开始实施，到2017年12月全部完成。目前</w:t>
      </w:r>
      <w:r>
        <w:rPr>
          <w:rFonts w:hint="eastAsia" w:cs="仿宋"/>
        </w:rPr>
        <w:t>，项目区内排水顺畅，水土保持效果明显。</w:t>
      </w:r>
    </w:p>
    <w:p>
      <w:pPr>
        <w:pStyle w:val="2"/>
        <w:ind w:firstLine="480"/>
        <w:rPr>
          <w:lang w:val="zh-CN"/>
        </w:rPr>
      </w:pPr>
      <w:r>
        <w:rPr>
          <w:rFonts w:hint="eastAsia"/>
        </w:rPr>
        <w:t>1.</w:t>
      </w:r>
      <w:r>
        <w:rPr>
          <w:lang w:val="zh-CN"/>
        </w:rPr>
        <w:t>建筑物区</w:t>
      </w:r>
    </w:p>
    <w:p>
      <w:pPr>
        <w:pStyle w:val="2"/>
        <w:ind w:firstLine="480"/>
        <w:rPr>
          <w:lang w:val="zh-CN"/>
        </w:rPr>
      </w:pPr>
      <w:r>
        <w:rPr>
          <w:lang w:val="zh-CN"/>
        </w:rPr>
        <w:t>工程措施：雨水管道总长度6000m（其中东区为3800m，西区为2200m）。</w:t>
      </w:r>
    </w:p>
    <w:p>
      <w:pPr>
        <w:pStyle w:val="2"/>
        <w:snapToGrid w:val="0"/>
        <w:ind w:left="0" w:firstLine="422"/>
        <w:jc w:val="center"/>
        <w:rPr>
          <w:rFonts w:ascii="仿宋_GB2312" w:eastAsia="仿宋_GB2312"/>
          <w:b/>
          <w:sz w:val="21"/>
          <w:szCs w:val="32"/>
        </w:rPr>
      </w:pPr>
      <w:r>
        <w:rPr>
          <w:rFonts w:hint="eastAsia" w:ascii="仿宋_GB2312" w:eastAsia="仿宋_GB2312"/>
          <w:b/>
          <w:sz w:val="21"/>
          <w:szCs w:val="32"/>
        </w:rPr>
        <w:t>表</w:t>
      </w:r>
      <w:r>
        <w:rPr>
          <w:rFonts w:hint="eastAsia" w:eastAsia="仿宋_GB2312"/>
          <w:b/>
          <w:sz w:val="21"/>
          <w:szCs w:val="32"/>
        </w:rPr>
        <w:t>3-2</w:t>
      </w:r>
      <w:r>
        <w:rPr>
          <w:rFonts w:ascii="仿宋_GB2312" w:eastAsia="仿宋_GB2312"/>
          <w:b/>
          <w:sz w:val="21"/>
          <w:szCs w:val="32"/>
        </w:rPr>
        <w:t xml:space="preserve"> </w:t>
      </w:r>
      <w:r>
        <w:rPr>
          <w:rFonts w:ascii="仿宋_GB2312" w:eastAsia="仿宋_GB2312"/>
          <w:b/>
          <w:sz w:val="21"/>
          <w:szCs w:val="32"/>
          <w:lang w:val="zh-CN"/>
        </w:rPr>
        <w:t>建筑物区</w:t>
      </w:r>
      <w:r>
        <w:rPr>
          <w:rFonts w:hint="eastAsia" w:ascii="仿宋_GB2312" w:eastAsia="仿宋_GB2312"/>
          <w:b/>
          <w:sz w:val="21"/>
          <w:szCs w:val="32"/>
        </w:rPr>
        <w:t>水土保持工程措施工程量统计表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Align w:val="center"/>
          </w:tcPr>
          <w:p>
            <w:pPr>
              <w:pStyle w:val="53"/>
            </w:pPr>
            <w:r>
              <w:rPr>
                <w:lang w:val="zh-CN"/>
              </w:rPr>
              <w:t>建筑物区</w:t>
            </w:r>
          </w:p>
        </w:tc>
        <w:tc>
          <w:tcPr>
            <w:tcW w:w="1561" w:type="dxa"/>
            <w:vAlign w:val="center"/>
          </w:tcPr>
          <w:p>
            <w:pPr>
              <w:pStyle w:val="53"/>
              <w:rPr>
                <w:szCs w:val="22"/>
              </w:rPr>
            </w:pPr>
            <w:r>
              <w:rPr>
                <w:lang w:val="zh-CN"/>
              </w:rPr>
              <w:t>雨水管道</w:t>
            </w:r>
          </w:p>
        </w:tc>
        <w:tc>
          <w:tcPr>
            <w:tcW w:w="709" w:type="dxa"/>
            <w:vAlign w:val="center"/>
          </w:tcPr>
          <w:p>
            <w:pPr>
              <w:pStyle w:val="53"/>
              <w:rPr>
                <w:szCs w:val="22"/>
              </w:rPr>
            </w:pPr>
            <w:r>
              <w:rPr>
                <w:rFonts w:hint="eastAsia"/>
              </w:rPr>
              <w:t>m</w:t>
            </w:r>
          </w:p>
        </w:tc>
        <w:tc>
          <w:tcPr>
            <w:tcW w:w="1134" w:type="dxa"/>
            <w:vAlign w:val="center"/>
          </w:tcPr>
          <w:p>
            <w:pPr>
              <w:pStyle w:val="53"/>
            </w:pPr>
            <w:r>
              <w:rPr>
                <w:rFonts w:hint="eastAsia"/>
              </w:rPr>
              <w:t>6000</w:t>
            </w:r>
          </w:p>
        </w:tc>
        <w:tc>
          <w:tcPr>
            <w:tcW w:w="1134" w:type="dxa"/>
            <w:vAlign w:val="center"/>
          </w:tcPr>
          <w:p>
            <w:pPr>
              <w:pStyle w:val="53"/>
              <w:rPr>
                <w:szCs w:val="22"/>
              </w:rPr>
            </w:pPr>
            <w:r>
              <w:rPr>
                <w:rFonts w:hint="eastAsia"/>
              </w:rPr>
              <w:t>6000</w:t>
            </w:r>
          </w:p>
        </w:tc>
        <w:tc>
          <w:tcPr>
            <w:tcW w:w="1113" w:type="dxa"/>
            <w:vAlign w:val="center"/>
          </w:tcPr>
          <w:p>
            <w:pPr>
              <w:pStyle w:val="53"/>
            </w:pPr>
            <w:r>
              <w:rPr>
                <w:rFonts w:hint="eastAsia"/>
              </w:rPr>
              <w:t>100%</w:t>
            </w:r>
          </w:p>
        </w:tc>
      </w:tr>
    </w:tbl>
    <w:p>
      <w:pPr>
        <w:pStyle w:val="2"/>
        <w:snapToGrid w:val="0"/>
        <w:ind w:left="0" w:firstLine="422"/>
        <w:jc w:val="center"/>
        <w:rPr>
          <w:rFonts w:ascii="仿宋_GB2312" w:eastAsia="仿宋_GB2312"/>
          <w:b/>
          <w:sz w:val="21"/>
          <w:szCs w:val="32"/>
        </w:rPr>
      </w:pPr>
    </w:p>
    <w:p>
      <w:pPr>
        <w:pStyle w:val="2"/>
        <w:ind w:firstLine="480"/>
      </w:pPr>
      <w:r>
        <w:rPr>
          <w:rFonts w:hint="eastAsia"/>
        </w:rPr>
        <w:t>2.道路硬化区</w:t>
      </w:r>
    </w:p>
    <w:p>
      <w:pPr>
        <w:pStyle w:val="2"/>
        <w:ind w:firstLine="480"/>
      </w:pPr>
      <w:r>
        <w:rPr>
          <w:rFonts w:hint="eastAsia"/>
        </w:rPr>
        <w:t>工程措施：土地平整 7.93hm²</w:t>
      </w:r>
    </w:p>
    <w:p>
      <w:pPr>
        <w:pStyle w:val="2"/>
        <w:snapToGrid w:val="0"/>
        <w:ind w:left="0" w:firstLine="422"/>
        <w:jc w:val="center"/>
        <w:rPr>
          <w:rFonts w:ascii="仿宋_GB2312" w:eastAsia="仿宋_GB2312"/>
          <w:b/>
          <w:sz w:val="21"/>
          <w:szCs w:val="32"/>
        </w:rPr>
      </w:pPr>
    </w:p>
    <w:p>
      <w:pPr>
        <w:pStyle w:val="2"/>
        <w:snapToGrid w:val="0"/>
        <w:ind w:left="0" w:firstLine="422"/>
        <w:jc w:val="center"/>
        <w:rPr>
          <w:rFonts w:ascii="仿宋_GB2312" w:eastAsia="仿宋_GB2312"/>
          <w:b/>
          <w:sz w:val="21"/>
          <w:szCs w:val="32"/>
        </w:rPr>
      </w:pPr>
    </w:p>
    <w:p>
      <w:pPr>
        <w:pStyle w:val="2"/>
        <w:snapToGrid w:val="0"/>
        <w:ind w:left="0" w:firstLine="422"/>
        <w:jc w:val="center"/>
        <w:rPr>
          <w:rFonts w:ascii="仿宋_GB2312" w:eastAsia="仿宋_GB2312"/>
          <w:b/>
          <w:sz w:val="21"/>
          <w:szCs w:val="32"/>
        </w:rPr>
      </w:pPr>
    </w:p>
    <w:p>
      <w:pPr>
        <w:pStyle w:val="2"/>
        <w:snapToGrid w:val="0"/>
        <w:ind w:left="0" w:firstLine="422"/>
        <w:jc w:val="center"/>
        <w:rPr>
          <w:rFonts w:ascii="仿宋_GB2312" w:eastAsia="仿宋_GB2312"/>
          <w:b/>
          <w:sz w:val="21"/>
          <w:szCs w:val="32"/>
        </w:rPr>
      </w:pPr>
      <w:r>
        <w:rPr>
          <w:rFonts w:hint="eastAsia" w:ascii="仿宋_GB2312" w:eastAsia="仿宋_GB2312"/>
          <w:b/>
          <w:sz w:val="21"/>
          <w:szCs w:val="32"/>
        </w:rPr>
        <w:t>表</w:t>
      </w:r>
      <w:r>
        <w:rPr>
          <w:rFonts w:hint="eastAsia" w:eastAsia="仿宋_GB2312"/>
          <w:b/>
          <w:sz w:val="21"/>
          <w:szCs w:val="32"/>
        </w:rPr>
        <w:t>3-3</w:t>
      </w:r>
      <w:r>
        <w:rPr>
          <w:rFonts w:ascii="仿宋_GB2312" w:eastAsia="仿宋_GB2312"/>
          <w:b/>
          <w:sz w:val="21"/>
          <w:szCs w:val="32"/>
        </w:rPr>
        <w:t xml:space="preserve"> </w:t>
      </w:r>
      <w:r>
        <w:rPr>
          <w:rFonts w:hint="eastAsia" w:ascii="仿宋_GB2312" w:eastAsia="仿宋_GB2312"/>
          <w:b/>
          <w:sz w:val="21"/>
          <w:szCs w:val="32"/>
        </w:rPr>
        <w:t>道路硬化区水土保持工程措施工程量统计表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rPr>
                <w:rFonts w:hint="eastAsia"/>
              </w:rPr>
              <w:t>道路硬化区</w:t>
            </w:r>
          </w:p>
        </w:tc>
        <w:tc>
          <w:tcPr>
            <w:tcW w:w="1561" w:type="dxa"/>
            <w:vAlign w:val="center"/>
          </w:tcPr>
          <w:p>
            <w:pPr>
              <w:pStyle w:val="53"/>
              <w:rPr>
                <w:lang w:eastAsia="en-US"/>
              </w:rPr>
            </w:pPr>
            <w:r>
              <w:t>土地平整</w:t>
            </w:r>
          </w:p>
        </w:tc>
        <w:tc>
          <w:tcPr>
            <w:tcW w:w="709" w:type="dxa"/>
            <w:vAlign w:val="center"/>
          </w:tcPr>
          <w:p>
            <w:pPr>
              <w:pStyle w:val="53"/>
              <w:rPr>
                <w:lang w:eastAsia="en-US"/>
              </w:rPr>
            </w:pPr>
            <w:r>
              <w:t>hm²</w:t>
            </w:r>
          </w:p>
        </w:tc>
        <w:tc>
          <w:tcPr>
            <w:tcW w:w="1134" w:type="dxa"/>
            <w:vAlign w:val="center"/>
          </w:tcPr>
          <w:p>
            <w:pPr>
              <w:pStyle w:val="57"/>
              <w:spacing w:before="1" w:line="251" w:lineRule="exact"/>
              <w:ind w:left="126" w:right="117" w:firstLine="420"/>
              <w:jc w:val="center"/>
              <w:rPr>
                <w:sz w:val="21"/>
                <w:szCs w:val="22"/>
              </w:rPr>
            </w:pPr>
            <w:r>
              <w:rPr>
                <w:rFonts w:hint="eastAsia"/>
                <w:sz w:val="21"/>
              </w:rPr>
              <w:t>7.93</w:t>
            </w:r>
          </w:p>
        </w:tc>
        <w:tc>
          <w:tcPr>
            <w:tcW w:w="1134" w:type="dxa"/>
            <w:vAlign w:val="center"/>
          </w:tcPr>
          <w:p>
            <w:pPr>
              <w:pStyle w:val="57"/>
              <w:spacing w:before="1" w:line="251" w:lineRule="exact"/>
              <w:ind w:left="126" w:right="117" w:firstLine="420"/>
              <w:jc w:val="center"/>
              <w:rPr>
                <w:sz w:val="21"/>
                <w:szCs w:val="22"/>
              </w:rPr>
            </w:pPr>
            <w:r>
              <w:rPr>
                <w:rFonts w:hint="eastAsia"/>
                <w:sz w:val="21"/>
              </w:rPr>
              <w:t>7.93</w:t>
            </w:r>
          </w:p>
        </w:tc>
        <w:tc>
          <w:tcPr>
            <w:tcW w:w="1113" w:type="dxa"/>
            <w:vAlign w:val="center"/>
          </w:tcPr>
          <w:p>
            <w:pPr>
              <w:pStyle w:val="53"/>
            </w:pPr>
            <w:r>
              <w:rPr>
                <w:rFonts w:hint="eastAsia"/>
              </w:rPr>
              <w:t>100%</w:t>
            </w:r>
          </w:p>
        </w:tc>
      </w:tr>
    </w:tbl>
    <w:p>
      <w:pPr>
        <w:pStyle w:val="2"/>
        <w:ind w:firstLine="480"/>
      </w:pPr>
    </w:p>
    <w:p>
      <w:pPr>
        <w:pStyle w:val="2"/>
        <w:ind w:firstLine="480"/>
      </w:pPr>
      <w:r>
        <w:rPr>
          <w:rFonts w:hint="eastAsia"/>
        </w:rPr>
        <w:t>3.绿化区</w:t>
      </w:r>
    </w:p>
    <w:p>
      <w:pPr>
        <w:pStyle w:val="2"/>
        <w:ind w:firstLine="480"/>
      </w:pPr>
      <w:r>
        <w:rPr>
          <w:rFonts w:hint="eastAsia"/>
        </w:rPr>
        <w:t>工程措施：土地平整 6.58hm²。</w:t>
      </w:r>
    </w:p>
    <w:p>
      <w:pPr>
        <w:pStyle w:val="2"/>
        <w:snapToGrid w:val="0"/>
        <w:ind w:left="0" w:firstLine="422"/>
        <w:jc w:val="center"/>
        <w:rPr>
          <w:rFonts w:ascii="仿宋_GB2312" w:eastAsia="仿宋_GB2312"/>
          <w:b/>
          <w:sz w:val="21"/>
          <w:szCs w:val="32"/>
        </w:rPr>
      </w:pPr>
      <w:r>
        <w:rPr>
          <w:rFonts w:hint="eastAsia" w:ascii="仿宋_GB2312" w:eastAsia="仿宋_GB2312"/>
          <w:b/>
          <w:sz w:val="21"/>
          <w:szCs w:val="32"/>
        </w:rPr>
        <w:t>表</w:t>
      </w:r>
      <w:r>
        <w:rPr>
          <w:rFonts w:hint="eastAsia" w:eastAsia="仿宋_GB2312"/>
          <w:b/>
          <w:sz w:val="21"/>
          <w:szCs w:val="32"/>
        </w:rPr>
        <w:t>3-4</w:t>
      </w:r>
      <w:r>
        <w:rPr>
          <w:rFonts w:ascii="仿宋_GB2312" w:eastAsia="仿宋_GB2312"/>
          <w:b/>
          <w:sz w:val="21"/>
          <w:szCs w:val="32"/>
        </w:rPr>
        <w:t xml:space="preserve"> </w:t>
      </w:r>
      <w:r>
        <w:rPr>
          <w:rFonts w:hint="eastAsia" w:ascii="仿宋_GB2312" w:eastAsia="仿宋_GB2312"/>
          <w:b/>
          <w:sz w:val="21"/>
          <w:szCs w:val="32"/>
        </w:rPr>
        <w:t>绿化区水土保持工程措施工程量统计表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rPr>
                <w:rFonts w:hint="eastAsia"/>
              </w:rPr>
              <w:t>绿化区</w:t>
            </w:r>
          </w:p>
        </w:tc>
        <w:tc>
          <w:tcPr>
            <w:tcW w:w="1561" w:type="dxa"/>
            <w:vAlign w:val="center"/>
          </w:tcPr>
          <w:p>
            <w:pPr>
              <w:pStyle w:val="53"/>
              <w:rPr>
                <w:szCs w:val="22"/>
                <w:lang w:eastAsia="en-US"/>
              </w:rPr>
            </w:pPr>
            <w:r>
              <w:t>土地平整</w:t>
            </w:r>
          </w:p>
        </w:tc>
        <w:tc>
          <w:tcPr>
            <w:tcW w:w="709" w:type="dxa"/>
            <w:vAlign w:val="center"/>
          </w:tcPr>
          <w:p>
            <w:pPr>
              <w:pStyle w:val="53"/>
              <w:rPr>
                <w:szCs w:val="22"/>
                <w:lang w:eastAsia="en-US"/>
              </w:rPr>
            </w:pPr>
            <w:r>
              <w:t>hm²</w:t>
            </w:r>
          </w:p>
        </w:tc>
        <w:tc>
          <w:tcPr>
            <w:tcW w:w="1134" w:type="dxa"/>
            <w:vAlign w:val="center"/>
          </w:tcPr>
          <w:p>
            <w:pPr>
              <w:pStyle w:val="57"/>
              <w:spacing w:before="1" w:line="251" w:lineRule="exact"/>
              <w:ind w:left="126" w:right="117" w:firstLine="420"/>
              <w:jc w:val="center"/>
              <w:rPr>
                <w:sz w:val="21"/>
                <w:szCs w:val="22"/>
              </w:rPr>
            </w:pPr>
            <w:r>
              <w:rPr>
                <w:rFonts w:hint="eastAsia"/>
                <w:sz w:val="21"/>
                <w:szCs w:val="22"/>
              </w:rPr>
              <w:t>6.58</w:t>
            </w:r>
          </w:p>
        </w:tc>
        <w:tc>
          <w:tcPr>
            <w:tcW w:w="1134" w:type="dxa"/>
            <w:vAlign w:val="center"/>
          </w:tcPr>
          <w:p>
            <w:pPr>
              <w:pStyle w:val="57"/>
              <w:spacing w:before="1" w:line="251" w:lineRule="exact"/>
              <w:ind w:left="126" w:right="117" w:firstLine="420"/>
              <w:jc w:val="center"/>
              <w:rPr>
                <w:sz w:val="21"/>
                <w:szCs w:val="22"/>
              </w:rPr>
            </w:pPr>
            <w:r>
              <w:rPr>
                <w:rFonts w:hint="eastAsia"/>
                <w:sz w:val="21"/>
              </w:rPr>
              <w:t>6.58</w:t>
            </w:r>
          </w:p>
        </w:tc>
        <w:tc>
          <w:tcPr>
            <w:tcW w:w="1113" w:type="dxa"/>
            <w:vAlign w:val="center"/>
          </w:tcPr>
          <w:p>
            <w:pPr>
              <w:pStyle w:val="53"/>
              <w:rPr>
                <w:szCs w:val="22"/>
                <w:lang w:eastAsia="en-US"/>
              </w:rPr>
            </w:pPr>
            <w:r>
              <w:rPr>
                <w:rFonts w:hint="eastAsia"/>
              </w:rPr>
              <w:t>100%</w:t>
            </w:r>
          </w:p>
        </w:tc>
      </w:tr>
    </w:tbl>
    <w:p>
      <w:pPr>
        <w:pStyle w:val="2"/>
        <w:ind w:firstLine="480"/>
      </w:pPr>
    </w:p>
    <w:p>
      <w:pPr>
        <w:pStyle w:val="2"/>
        <w:ind w:firstLine="480"/>
      </w:pPr>
      <w:r>
        <w:rPr>
          <w:rFonts w:hint="eastAsia"/>
        </w:rPr>
        <w:t>4.施工便道区</w:t>
      </w:r>
    </w:p>
    <w:p>
      <w:pPr>
        <w:pStyle w:val="2"/>
        <w:ind w:firstLine="480"/>
      </w:pPr>
      <w:r>
        <w:rPr>
          <w:rFonts w:hint="eastAsia"/>
        </w:rPr>
        <w:t>工程措施：</w:t>
      </w:r>
      <w:r>
        <w:rPr>
          <w:snapToGrid w:val="0"/>
        </w:rPr>
        <w:t>清除碎石层1520m</w:t>
      </w:r>
      <w:r>
        <w:rPr>
          <w:snapToGrid w:val="0"/>
          <w:vertAlign w:val="superscript"/>
        </w:rPr>
        <w:t>3</w:t>
      </w:r>
      <w:r>
        <w:rPr>
          <w:rFonts w:hint="eastAsia"/>
        </w:rPr>
        <w:t>。</w:t>
      </w:r>
    </w:p>
    <w:p>
      <w:pPr>
        <w:pStyle w:val="2"/>
        <w:snapToGrid w:val="0"/>
        <w:ind w:left="0" w:firstLine="422"/>
        <w:jc w:val="center"/>
        <w:rPr>
          <w:rFonts w:ascii="仿宋_GB2312" w:eastAsia="仿宋_GB2312"/>
          <w:b/>
          <w:sz w:val="21"/>
          <w:szCs w:val="32"/>
        </w:rPr>
      </w:pPr>
      <w:r>
        <w:rPr>
          <w:rFonts w:hint="eastAsia" w:ascii="仿宋_GB2312" w:eastAsia="仿宋_GB2312"/>
          <w:b/>
          <w:sz w:val="21"/>
          <w:szCs w:val="32"/>
        </w:rPr>
        <w:t>表</w:t>
      </w:r>
      <w:r>
        <w:rPr>
          <w:rFonts w:hint="eastAsia" w:eastAsia="仿宋_GB2312"/>
          <w:b/>
          <w:sz w:val="21"/>
          <w:szCs w:val="32"/>
        </w:rPr>
        <w:t>3-5</w:t>
      </w:r>
      <w:r>
        <w:rPr>
          <w:rFonts w:ascii="仿宋_GB2312" w:eastAsia="仿宋_GB2312"/>
          <w:b/>
          <w:sz w:val="21"/>
          <w:szCs w:val="32"/>
        </w:rPr>
        <w:t xml:space="preserve"> </w:t>
      </w:r>
      <w:r>
        <w:rPr>
          <w:rFonts w:hint="eastAsia" w:ascii="仿宋_GB2312" w:eastAsia="仿宋_GB2312"/>
          <w:b/>
          <w:sz w:val="21"/>
          <w:szCs w:val="32"/>
        </w:rPr>
        <w:t>施工便道区水土保持工程措施工程量统计表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rPr>
                <w:rFonts w:hint="eastAsia"/>
              </w:rPr>
              <w:t>施工便道区</w:t>
            </w:r>
          </w:p>
        </w:tc>
        <w:tc>
          <w:tcPr>
            <w:tcW w:w="1561" w:type="dxa"/>
            <w:vAlign w:val="center"/>
          </w:tcPr>
          <w:p>
            <w:pPr>
              <w:pStyle w:val="53"/>
              <w:rPr>
                <w:lang w:eastAsia="en-US"/>
              </w:rPr>
            </w:pPr>
            <w:r>
              <w:rPr>
                <w:snapToGrid w:val="0"/>
                <w:sz w:val="24"/>
              </w:rPr>
              <w:t>清除碎石层</w:t>
            </w:r>
          </w:p>
        </w:tc>
        <w:tc>
          <w:tcPr>
            <w:tcW w:w="709" w:type="dxa"/>
            <w:vAlign w:val="center"/>
          </w:tcPr>
          <w:p>
            <w:pPr>
              <w:pStyle w:val="53"/>
              <w:rPr>
                <w:lang w:eastAsia="en-US"/>
              </w:rPr>
            </w:pPr>
            <w:r>
              <w:rPr>
                <w:snapToGrid w:val="0"/>
                <w:sz w:val="24"/>
              </w:rPr>
              <w:t>m</w:t>
            </w:r>
            <w:r>
              <w:rPr>
                <w:snapToGrid w:val="0"/>
                <w:sz w:val="24"/>
                <w:vertAlign w:val="superscript"/>
              </w:rPr>
              <w:t>3</w:t>
            </w:r>
          </w:p>
        </w:tc>
        <w:tc>
          <w:tcPr>
            <w:tcW w:w="1134" w:type="dxa"/>
            <w:vAlign w:val="center"/>
          </w:tcPr>
          <w:p>
            <w:pPr>
              <w:pStyle w:val="53"/>
            </w:pPr>
            <w:r>
              <w:rPr>
                <w:rFonts w:hint="eastAsia"/>
              </w:rPr>
              <w:t>1520</w:t>
            </w:r>
          </w:p>
        </w:tc>
        <w:tc>
          <w:tcPr>
            <w:tcW w:w="1134" w:type="dxa"/>
            <w:vAlign w:val="center"/>
          </w:tcPr>
          <w:p>
            <w:pPr>
              <w:pStyle w:val="53"/>
            </w:pPr>
            <w:r>
              <w:rPr>
                <w:rFonts w:hint="eastAsia"/>
              </w:rPr>
              <w:t>1520</w:t>
            </w:r>
          </w:p>
        </w:tc>
        <w:tc>
          <w:tcPr>
            <w:tcW w:w="1113" w:type="dxa"/>
            <w:vAlign w:val="center"/>
          </w:tcPr>
          <w:p>
            <w:pPr>
              <w:pStyle w:val="53"/>
            </w:pPr>
            <w:r>
              <w:rPr>
                <w:rFonts w:hint="eastAsia"/>
              </w:rPr>
              <w:t>100%</w:t>
            </w:r>
          </w:p>
        </w:tc>
      </w:tr>
    </w:tbl>
    <w:p>
      <w:pPr>
        <w:pStyle w:val="2"/>
        <w:ind w:firstLine="480"/>
      </w:pPr>
    </w:p>
    <w:p>
      <w:pPr>
        <w:pStyle w:val="2"/>
        <w:ind w:firstLine="480"/>
      </w:pPr>
      <w:r>
        <w:rPr>
          <w:rFonts w:hint="eastAsia"/>
        </w:rPr>
        <w:t>5.施工场地区</w:t>
      </w:r>
    </w:p>
    <w:p>
      <w:pPr>
        <w:pStyle w:val="2"/>
        <w:ind w:firstLine="480"/>
      </w:pPr>
      <w:r>
        <w:rPr>
          <w:rFonts w:hint="eastAsia"/>
        </w:rPr>
        <w:t>工程措施：</w:t>
      </w:r>
      <w:r>
        <w:rPr>
          <w:snapToGrid w:val="0"/>
        </w:rPr>
        <w:t>清除硬化层740m</w:t>
      </w:r>
      <w:r>
        <w:rPr>
          <w:snapToGrid w:val="0"/>
          <w:vertAlign w:val="superscript"/>
        </w:rPr>
        <w:t>3</w:t>
      </w:r>
      <w:r>
        <w:rPr>
          <w:snapToGrid w:val="0"/>
        </w:rPr>
        <w:t xml:space="preserve"> </w:t>
      </w:r>
      <w:r>
        <w:rPr>
          <w:rFonts w:hint="eastAsia"/>
        </w:rPr>
        <w:t>。</w:t>
      </w:r>
    </w:p>
    <w:p>
      <w:pPr>
        <w:pStyle w:val="2"/>
        <w:snapToGrid w:val="0"/>
        <w:ind w:left="0" w:firstLine="422"/>
        <w:jc w:val="center"/>
        <w:rPr>
          <w:rFonts w:ascii="仿宋_GB2312" w:eastAsia="仿宋_GB2312"/>
          <w:b/>
          <w:sz w:val="21"/>
          <w:szCs w:val="32"/>
        </w:rPr>
      </w:pPr>
      <w:r>
        <w:rPr>
          <w:rFonts w:hint="eastAsia" w:ascii="仿宋_GB2312" w:eastAsia="仿宋_GB2312"/>
          <w:b/>
          <w:sz w:val="21"/>
          <w:szCs w:val="32"/>
        </w:rPr>
        <w:t>表</w:t>
      </w:r>
      <w:r>
        <w:rPr>
          <w:rFonts w:hint="eastAsia" w:eastAsia="仿宋_GB2312"/>
          <w:b/>
          <w:sz w:val="21"/>
          <w:szCs w:val="32"/>
        </w:rPr>
        <w:t>3-6</w:t>
      </w:r>
      <w:r>
        <w:rPr>
          <w:rFonts w:ascii="仿宋_GB2312" w:eastAsia="仿宋_GB2312"/>
          <w:b/>
          <w:sz w:val="21"/>
          <w:szCs w:val="32"/>
        </w:rPr>
        <w:t xml:space="preserve"> 施工场地区</w:t>
      </w:r>
      <w:r>
        <w:rPr>
          <w:rFonts w:hint="eastAsia" w:ascii="仿宋_GB2312" w:eastAsia="仿宋_GB2312"/>
          <w:b/>
          <w:sz w:val="21"/>
          <w:szCs w:val="32"/>
        </w:rPr>
        <w:t>水土保持工程措施工程量统计表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Align w:val="center"/>
          </w:tcPr>
          <w:p>
            <w:pPr>
              <w:pStyle w:val="53"/>
            </w:pPr>
            <w:r>
              <w:rPr>
                <w:rFonts w:hint="eastAsia"/>
              </w:rPr>
              <w:t>施工场地区</w:t>
            </w:r>
          </w:p>
        </w:tc>
        <w:tc>
          <w:tcPr>
            <w:tcW w:w="1561" w:type="dxa"/>
            <w:vAlign w:val="center"/>
          </w:tcPr>
          <w:p>
            <w:pPr>
              <w:pStyle w:val="53"/>
              <w:rPr>
                <w:szCs w:val="22"/>
              </w:rPr>
            </w:pPr>
            <w:r>
              <w:rPr>
                <w:snapToGrid w:val="0"/>
                <w:sz w:val="24"/>
              </w:rPr>
              <w:t>清除硬化层</w:t>
            </w:r>
          </w:p>
        </w:tc>
        <w:tc>
          <w:tcPr>
            <w:tcW w:w="709" w:type="dxa"/>
            <w:vAlign w:val="center"/>
          </w:tcPr>
          <w:p>
            <w:pPr>
              <w:pStyle w:val="53"/>
              <w:rPr>
                <w:szCs w:val="22"/>
              </w:rPr>
            </w:pPr>
            <w:r>
              <w:rPr>
                <w:snapToGrid w:val="0"/>
                <w:sz w:val="24"/>
              </w:rPr>
              <w:t>m</w:t>
            </w:r>
            <w:r>
              <w:rPr>
                <w:snapToGrid w:val="0"/>
                <w:sz w:val="24"/>
                <w:vertAlign w:val="superscript"/>
              </w:rPr>
              <w:t>3</w:t>
            </w:r>
          </w:p>
        </w:tc>
        <w:tc>
          <w:tcPr>
            <w:tcW w:w="1134" w:type="dxa"/>
            <w:vAlign w:val="center"/>
          </w:tcPr>
          <w:p>
            <w:pPr>
              <w:pStyle w:val="53"/>
            </w:pPr>
            <w:r>
              <w:rPr>
                <w:rFonts w:hint="eastAsia"/>
              </w:rPr>
              <w:t>740</w:t>
            </w:r>
          </w:p>
        </w:tc>
        <w:tc>
          <w:tcPr>
            <w:tcW w:w="1134" w:type="dxa"/>
            <w:vAlign w:val="center"/>
          </w:tcPr>
          <w:p>
            <w:pPr>
              <w:pStyle w:val="53"/>
              <w:rPr>
                <w:szCs w:val="22"/>
              </w:rPr>
            </w:pPr>
            <w:r>
              <w:rPr>
                <w:rFonts w:hint="eastAsia"/>
              </w:rPr>
              <w:t>740</w:t>
            </w:r>
          </w:p>
        </w:tc>
        <w:tc>
          <w:tcPr>
            <w:tcW w:w="1113" w:type="dxa"/>
            <w:vAlign w:val="center"/>
          </w:tcPr>
          <w:p>
            <w:pPr>
              <w:pStyle w:val="53"/>
            </w:pPr>
            <w:r>
              <w:rPr>
                <w:rFonts w:hint="eastAsia"/>
              </w:rPr>
              <w:t>100%</w:t>
            </w:r>
          </w:p>
        </w:tc>
      </w:tr>
    </w:tbl>
    <w:p>
      <w:pPr>
        <w:pStyle w:val="2"/>
        <w:ind w:firstLine="480"/>
      </w:pPr>
    </w:p>
    <w:p>
      <w:pPr>
        <w:pStyle w:val="2"/>
        <w:snapToGrid w:val="0"/>
        <w:ind w:firstLine="422"/>
        <w:jc w:val="center"/>
        <w:rPr>
          <w:rFonts w:eastAsia="仿宋_GB2312"/>
          <w:b/>
          <w:sz w:val="21"/>
          <w:szCs w:val="28"/>
        </w:rPr>
      </w:pPr>
    </w:p>
    <w:p>
      <w:pPr>
        <w:pStyle w:val="2"/>
        <w:snapToGrid w:val="0"/>
        <w:ind w:firstLine="422"/>
        <w:jc w:val="center"/>
        <w:rPr>
          <w:rFonts w:eastAsia="仿宋_GB2312"/>
          <w:b/>
          <w:sz w:val="21"/>
          <w:szCs w:val="28"/>
        </w:rPr>
      </w:pPr>
    </w:p>
    <w:p>
      <w:pPr>
        <w:pStyle w:val="2"/>
        <w:snapToGrid w:val="0"/>
        <w:ind w:firstLine="422"/>
        <w:jc w:val="center"/>
        <w:rPr>
          <w:rFonts w:eastAsia="仿宋_GB2312"/>
          <w:b/>
          <w:sz w:val="21"/>
          <w:szCs w:val="28"/>
        </w:rPr>
      </w:pPr>
    </w:p>
    <w:p>
      <w:pPr>
        <w:pStyle w:val="2"/>
        <w:snapToGrid w:val="0"/>
        <w:ind w:firstLine="422"/>
        <w:jc w:val="center"/>
        <w:rPr>
          <w:rFonts w:eastAsia="仿宋_GB2312"/>
          <w:b/>
          <w:sz w:val="21"/>
          <w:szCs w:val="28"/>
        </w:rPr>
      </w:pPr>
    </w:p>
    <w:p>
      <w:pPr>
        <w:pStyle w:val="2"/>
        <w:snapToGrid w:val="0"/>
        <w:ind w:firstLine="422"/>
        <w:jc w:val="center"/>
        <w:rPr>
          <w:rFonts w:eastAsia="仿宋_GB2312"/>
          <w:b/>
          <w:sz w:val="21"/>
          <w:szCs w:val="28"/>
        </w:rPr>
      </w:pPr>
    </w:p>
    <w:p>
      <w:pPr>
        <w:pStyle w:val="2"/>
        <w:snapToGrid w:val="0"/>
        <w:ind w:firstLine="422"/>
        <w:jc w:val="center"/>
        <w:rPr>
          <w:rFonts w:eastAsia="仿宋_GB2312"/>
          <w:b/>
          <w:sz w:val="21"/>
          <w:szCs w:val="28"/>
        </w:rPr>
      </w:pPr>
    </w:p>
    <w:p>
      <w:pPr>
        <w:pStyle w:val="2"/>
        <w:snapToGrid w:val="0"/>
        <w:ind w:firstLine="422"/>
        <w:jc w:val="center"/>
        <w:rPr>
          <w:rFonts w:eastAsia="仿宋_GB2312"/>
          <w:b/>
          <w:sz w:val="21"/>
          <w:szCs w:val="28"/>
        </w:rPr>
      </w:pPr>
    </w:p>
    <w:p>
      <w:pPr>
        <w:pStyle w:val="2"/>
        <w:snapToGrid w:val="0"/>
        <w:ind w:firstLine="422"/>
        <w:jc w:val="center"/>
        <w:rPr>
          <w:rFonts w:eastAsia="仿宋_GB2312"/>
          <w:b/>
          <w:sz w:val="21"/>
          <w:szCs w:val="28"/>
        </w:rPr>
      </w:pPr>
      <w:r>
        <w:rPr>
          <w:rFonts w:hint="eastAsia" w:eastAsia="仿宋_GB2312"/>
          <w:b/>
          <w:sz w:val="21"/>
          <w:szCs w:val="28"/>
        </w:rPr>
        <w:t>表3-7</w:t>
      </w:r>
      <w:r>
        <w:rPr>
          <w:rFonts w:eastAsia="仿宋_GB2312"/>
          <w:b/>
          <w:sz w:val="21"/>
          <w:szCs w:val="28"/>
        </w:rPr>
        <w:t xml:space="preserve"> </w:t>
      </w:r>
      <w:r>
        <w:rPr>
          <w:rFonts w:hint="eastAsia" w:eastAsia="仿宋_GB2312"/>
          <w:b/>
          <w:sz w:val="21"/>
          <w:szCs w:val="28"/>
        </w:rPr>
        <w:t>工程措施照片</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8"/>
        <w:gridCol w:w="3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8" w:type="dxa"/>
            <w:tcBorders>
              <w:tl2br w:val="nil"/>
              <w:tr2bl w:val="nil"/>
            </w:tcBorders>
            <w:vAlign w:val="center"/>
          </w:tcPr>
          <w:p>
            <w:pPr>
              <w:pStyle w:val="53"/>
              <w:rPr>
                <w:lang w:val="zh-CN"/>
              </w:rPr>
            </w:pPr>
            <w:r>
              <w:rPr>
                <w:rFonts w:hint="eastAsia"/>
              </w:rPr>
              <w:drawing>
                <wp:inline distT="0" distB="0" distL="85090" distR="85090">
                  <wp:extent cx="2414905" cy="1699260"/>
                  <wp:effectExtent l="0" t="0" r="26" b="36"/>
                  <wp:docPr id="25" name="图片" descr="土地整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descr="土地整治"/>
                          <pic:cNvPicPr>
                            <a:picLocks noChangeAspect="1"/>
                          </pic:cNvPicPr>
                        </pic:nvPicPr>
                        <pic:blipFill>
                          <a:blip r:embed="rId22"/>
                          <a:stretch>
                            <a:fillRect/>
                          </a:stretch>
                        </pic:blipFill>
                        <pic:spPr>
                          <a:xfrm>
                            <a:off x="0" y="0"/>
                            <a:ext cx="2415001" cy="1699388"/>
                          </a:xfrm>
                          <a:prstGeom prst="rect">
                            <a:avLst/>
                          </a:prstGeom>
                          <a:noFill/>
                          <a:ln w="9525" cap="flat" cmpd="sng">
                            <a:noFill/>
                            <a:prstDash val="solid"/>
                            <a:miter/>
                          </a:ln>
                        </pic:spPr>
                      </pic:pic>
                    </a:graphicData>
                  </a:graphic>
                </wp:inline>
              </w:drawing>
            </w:r>
          </w:p>
        </w:tc>
        <w:tc>
          <w:tcPr>
            <w:tcW w:w="3951" w:type="dxa"/>
            <w:tcBorders>
              <w:tl2br w:val="nil"/>
              <w:tr2bl w:val="nil"/>
            </w:tcBorders>
            <w:vAlign w:val="center"/>
          </w:tcPr>
          <w:p>
            <w:pPr>
              <w:pStyle w:val="53"/>
              <w:rPr>
                <w:lang w:val="zh-CN"/>
              </w:rPr>
            </w:pPr>
            <w:r>
              <w:rPr>
                <w:rFonts w:hint="eastAsia"/>
              </w:rPr>
              <w:drawing>
                <wp:inline distT="0" distB="0" distL="85090" distR="85090">
                  <wp:extent cx="2560320" cy="1737360"/>
                  <wp:effectExtent l="0" t="0" r="40" b="27"/>
                  <wp:docPr id="28" name="图片" descr="表土返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descr="表土返还"/>
                          <pic:cNvPicPr>
                            <a:picLocks noChangeAspect="1"/>
                          </pic:cNvPicPr>
                        </pic:nvPicPr>
                        <pic:blipFill>
                          <a:blip r:embed="rId23"/>
                          <a:stretch>
                            <a:fillRect/>
                          </a:stretch>
                        </pic:blipFill>
                        <pic:spPr>
                          <a:xfrm>
                            <a:off x="0" y="0"/>
                            <a:ext cx="2560320" cy="1737360"/>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8" w:type="dxa"/>
            <w:tcBorders>
              <w:tl2br w:val="nil"/>
              <w:tr2bl w:val="nil"/>
            </w:tcBorders>
            <w:vAlign w:val="center"/>
          </w:tcPr>
          <w:p>
            <w:pPr>
              <w:pStyle w:val="53"/>
              <w:rPr>
                <w:lang w:val="zh-CN"/>
              </w:rPr>
            </w:pPr>
            <w:r>
              <w:rPr>
                <w:rFonts w:hint="eastAsia"/>
                <w:lang w:val="zh-CN"/>
              </w:rPr>
              <w:t>土地平整</w:t>
            </w:r>
          </w:p>
        </w:tc>
        <w:tc>
          <w:tcPr>
            <w:tcW w:w="3951" w:type="dxa"/>
            <w:tcBorders>
              <w:tl2br w:val="nil"/>
              <w:tr2bl w:val="nil"/>
            </w:tcBorders>
            <w:vAlign w:val="center"/>
          </w:tcPr>
          <w:p>
            <w:pPr>
              <w:pStyle w:val="53"/>
              <w:rPr>
                <w:lang w:val="zh-CN"/>
              </w:rPr>
            </w:pPr>
            <w:r>
              <w:rPr>
                <w:rFonts w:hint="eastAsia"/>
                <w:lang w:val="zh-CN"/>
              </w:rPr>
              <w:t>表土返还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8" w:type="dxa"/>
            <w:tcBorders>
              <w:tl2br w:val="nil"/>
              <w:tr2bl w:val="nil"/>
            </w:tcBorders>
            <w:vAlign w:val="center"/>
          </w:tcPr>
          <w:p>
            <w:pPr>
              <w:pStyle w:val="53"/>
              <w:rPr>
                <w:lang w:val="zh-CN"/>
              </w:rPr>
            </w:pPr>
            <w:r>
              <w:rPr>
                <w:rFonts w:hint="eastAsia"/>
              </w:rPr>
              <w:drawing>
                <wp:inline distT="0" distB="0" distL="85090" distR="85090">
                  <wp:extent cx="2439670" cy="1828800"/>
                  <wp:effectExtent l="0" t="0" r="26" b="28"/>
                  <wp:docPr id="31" name="图片" descr="取土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descr="取土场1"/>
                          <pic:cNvPicPr>
                            <a:picLocks noChangeAspect="1"/>
                          </pic:cNvPicPr>
                        </pic:nvPicPr>
                        <pic:blipFill>
                          <a:blip r:embed="rId24"/>
                          <a:stretch>
                            <a:fillRect/>
                          </a:stretch>
                        </pic:blipFill>
                        <pic:spPr>
                          <a:xfrm>
                            <a:off x="0" y="0"/>
                            <a:ext cx="2439670" cy="1828800"/>
                          </a:xfrm>
                          <a:prstGeom prst="rect">
                            <a:avLst/>
                          </a:prstGeom>
                          <a:noFill/>
                          <a:ln w="9525" cap="flat" cmpd="sng">
                            <a:noFill/>
                            <a:prstDash val="solid"/>
                            <a:miter/>
                          </a:ln>
                        </pic:spPr>
                      </pic:pic>
                    </a:graphicData>
                  </a:graphic>
                </wp:inline>
              </w:drawing>
            </w:r>
          </w:p>
        </w:tc>
        <w:tc>
          <w:tcPr>
            <w:tcW w:w="3951" w:type="dxa"/>
            <w:tcBorders>
              <w:tl2br w:val="nil"/>
              <w:tr2bl w:val="nil"/>
            </w:tcBorders>
            <w:vAlign w:val="center"/>
          </w:tcPr>
          <w:p>
            <w:pPr>
              <w:pStyle w:val="53"/>
              <w:rPr>
                <w:lang w:val="zh-CN"/>
              </w:rPr>
            </w:pPr>
            <w:r>
              <w:rPr>
                <w:rFonts w:hint="eastAsia"/>
              </w:rPr>
              <w:drawing>
                <wp:inline distT="0" distB="0" distL="85090" distR="85090">
                  <wp:extent cx="2500630" cy="1807210"/>
                  <wp:effectExtent l="0" t="0" r="0" b="26"/>
                  <wp:docPr id="34" name="图片" descr="表土剥离6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descr="表土剥离6月"/>
                          <pic:cNvPicPr>
                            <a:picLocks noChangeAspect="1"/>
                          </pic:cNvPicPr>
                        </pic:nvPicPr>
                        <pic:blipFill>
                          <a:blip r:embed="rId25"/>
                          <a:stretch>
                            <a:fillRect/>
                          </a:stretch>
                        </pic:blipFill>
                        <pic:spPr>
                          <a:xfrm>
                            <a:off x="0" y="0"/>
                            <a:ext cx="2500750" cy="1807315"/>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8" w:type="dxa"/>
            <w:tcBorders>
              <w:tl2br w:val="nil"/>
              <w:tr2bl w:val="nil"/>
            </w:tcBorders>
            <w:vAlign w:val="center"/>
          </w:tcPr>
          <w:p>
            <w:pPr>
              <w:pStyle w:val="53"/>
              <w:rPr>
                <w:lang w:val="zh-CN"/>
              </w:rPr>
            </w:pPr>
            <w:r>
              <w:rPr>
                <w:rFonts w:hint="eastAsia"/>
                <w:lang w:val="zh-CN"/>
              </w:rPr>
              <w:t>表土回覆</w:t>
            </w:r>
          </w:p>
        </w:tc>
        <w:tc>
          <w:tcPr>
            <w:tcW w:w="3951" w:type="dxa"/>
            <w:tcBorders>
              <w:tl2br w:val="nil"/>
              <w:tr2bl w:val="nil"/>
            </w:tcBorders>
            <w:vAlign w:val="center"/>
          </w:tcPr>
          <w:p>
            <w:pPr>
              <w:pStyle w:val="53"/>
              <w:rPr>
                <w:lang w:val="zh-CN"/>
              </w:rPr>
            </w:pPr>
            <w:r>
              <w:rPr>
                <w:rFonts w:hint="eastAsia"/>
                <w:lang w:val="zh-CN"/>
              </w:rPr>
              <w:t>表土整治</w:t>
            </w:r>
          </w:p>
        </w:tc>
      </w:tr>
    </w:tbl>
    <w:p>
      <w:pPr>
        <w:ind w:firstLine="480"/>
      </w:pPr>
      <w:bookmarkStart w:id="60" w:name="_Toc488237506"/>
      <w:bookmarkStart w:id="61" w:name="_Toc488500063"/>
      <w:bookmarkStart w:id="62" w:name="_Toc488301784"/>
      <w:bookmarkStart w:id="63" w:name="_Toc488500352"/>
      <w:bookmarkStart w:id="64" w:name="_Toc503252478"/>
      <w:bookmarkStart w:id="65" w:name="_Toc488499935"/>
      <w:bookmarkStart w:id="66" w:name="_Toc510804540"/>
      <w:r>
        <w:t>各分区水土保持工程措施基本已按照水土保持方案设计进行实施。水土保持工程措施防治责任基本得到落实。工程措施已按照相应的设计标准进行了施工，符合有关标准要求，能够起到良好的保护水土资源作用。</w:t>
      </w:r>
      <w:bookmarkEnd w:id="60"/>
      <w:bookmarkEnd w:id="61"/>
      <w:bookmarkEnd w:id="62"/>
      <w:bookmarkEnd w:id="63"/>
      <w:bookmarkEnd w:id="64"/>
      <w:bookmarkEnd w:id="65"/>
      <w:bookmarkEnd w:id="66"/>
    </w:p>
    <w:p>
      <w:pPr>
        <w:pStyle w:val="5"/>
        <w:ind w:firstLine="562"/>
      </w:pPr>
      <w:bookmarkStart w:id="67" w:name="_Toc529801407"/>
      <w:bookmarkStart w:id="68" w:name="_Toc412713533"/>
      <w:bookmarkStart w:id="69" w:name="_Toc16276"/>
      <w:bookmarkStart w:id="70" w:name="_Toc529379720"/>
      <w:r>
        <w:t>3.</w:t>
      </w:r>
      <w:r>
        <w:rPr>
          <w:rFonts w:hint="eastAsia"/>
        </w:rPr>
        <w:t>3.</w:t>
      </w:r>
      <w:r>
        <w:t>2 植物措施及实施进度</w:t>
      </w:r>
      <w:bookmarkEnd w:id="67"/>
      <w:bookmarkEnd w:id="68"/>
      <w:bookmarkEnd w:id="69"/>
      <w:bookmarkEnd w:id="70"/>
    </w:p>
    <w:p>
      <w:pPr>
        <w:ind w:firstLine="480"/>
      </w:pPr>
      <w:bookmarkStart w:id="71" w:name="_Toc412713534"/>
      <w:bookmarkStart w:id="72" w:name="_Toc248204820"/>
      <w:bookmarkStart w:id="73" w:name="_Toc351644385"/>
      <w:bookmarkStart w:id="74" w:name="_Toc248204888"/>
      <w:bookmarkStart w:id="75" w:name="_Toc247686186"/>
      <w:r>
        <w:rPr>
          <w:rFonts w:hint="eastAsia"/>
        </w:rPr>
        <w:t>景观绿化工程实施时间从2015年7月开始实施，到2017年12月全部完成。绿化工程实施后，项目区内草木丛生，既美化了环境又满足了水土保持要求。</w:t>
      </w:r>
    </w:p>
    <w:p>
      <w:pPr>
        <w:pStyle w:val="2"/>
        <w:ind w:firstLine="422"/>
        <w:jc w:val="center"/>
      </w:pPr>
      <w:r>
        <w:rPr>
          <w:rFonts w:hint="eastAsia" w:ascii="仿宋_GB2312" w:eastAsia="仿宋_GB2312"/>
          <w:b/>
          <w:sz w:val="21"/>
          <w:szCs w:val="21"/>
        </w:rPr>
        <w:t>表3</w:t>
      </w:r>
      <w:r>
        <w:rPr>
          <w:rFonts w:eastAsia="仿宋_GB2312"/>
          <w:b/>
          <w:sz w:val="21"/>
          <w:szCs w:val="21"/>
        </w:rPr>
        <w:t>-</w:t>
      </w:r>
      <w:r>
        <w:rPr>
          <w:rFonts w:hint="eastAsia" w:eastAsia="仿宋_GB2312"/>
          <w:b/>
          <w:sz w:val="21"/>
          <w:szCs w:val="21"/>
        </w:rPr>
        <w:t>8</w:t>
      </w:r>
      <w:r>
        <w:rPr>
          <w:rFonts w:eastAsia="仿宋_GB2312"/>
          <w:b/>
          <w:sz w:val="21"/>
          <w:szCs w:val="21"/>
        </w:rPr>
        <w:t xml:space="preserve"> </w:t>
      </w:r>
      <w:r>
        <w:rPr>
          <w:rFonts w:hint="eastAsia" w:ascii="仿宋_GB2312" w:eastAsia="仿宋_GB2312"/>
          <w:b/>
          <w:sz w:val="21"/>
          <w:szCs w:val="21"/>
        </w:rPr>
        <w:t>水土保持植物措施工程量统计表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1062"/>
        <w:gridCol w:w="1062"/>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90" w:hRule="atLeast"/>
          <w:jc w:val="center"/>
        </w:trPr>
        <w:tc>
          <w:tcPr>
            <w:tcW w:w="2124" w:type="dxa"/>
            <w:gridSpan w:val="2"/>
            <w:tcBorders>
              <w:tl2br w:val="nil"/>
              <w:tr2bl w:val="nil"/>
            </w:tcBorders>
            <w:vAlign w:val="center"/>
          </w:tcPr>
          <w:p>
            <w:pPr>
              <w:pStyle w:val="53"/>
            </w:pPr>
            <w:r>
              <w:t>防治</w:t>
            </w:r>
            <w:r>
              <w:rPr>
                <w:rFonts w:hint="eastAsia"/>
              </w:rPr>
              <w:t>分区</w:t>
            </w:r>
          </w:p>
        </w:tc>
        <w:tc>
          <w:tcPr>
            <w:tcW w:w="1561" w:type="dxa"/>
            <w:tcBorders>
              <w:tl2br w:val="nil"/>
              <w:tr2bl w:val="nil"/>
            </w:tcBorders>
            <w:vAlign w:val="center"/>
          </w:tcPr>
          <w:p>
            <w:pPr>
              <w:pStyle w:val="53"/>
            </w:pPr>
            <w:r>
              <w:rPr>
                <w:rFonts w:hint="eastAsia"/>
              </w:rPr>
              <w:t>水土保持措施</w:t>
            </w:r>
          </w:p>
        </w:tc>
        <w:tc>
          <w:tcPr>
            <w:tcW w:w="709" w:type="dxa"/>
            <w:tcBorders>
              <w:tl2br w:val="nil"/>
              <w:tr2bl w:val="nil"/>
            </w:tcBorders>
            <w:vAlign w:val="center"/>
          </w:tcPr>
          <w:p>
            <w:pPr>
              <w:pStyle w:val="53"/>
            </w:pPr>
            <w:r>
              <w:t>单位</w:t>
            </w:r>
          </w:p>
        </w:tc>
        <w:tc>
          <w:tcPr>
            <w:tcW w:w="1134" w:type="dxa"/>
            <w:tcBorders>
              <w:tl2br w:val="nil"/>
              <w:tr2bl w:val="nil"/>
            </w:tcBorders>
            <w:vAlign w:val="center"/>
          </w:tcPr>
          <w:p>
            <w:pPr>
              <w:pStyle w:val="53"/>
            </w:pPr>
            <w:r>
              <w:rPr>
                <w:rFonts w:hint="eastAsia"/>
              </w:rPr>
              <w:t>设计工程量</w:t>
            </w:r>
          </w:p>
        </w:tc>
        <w:tc>
          <w:tcPr>
            <w:tcW w:w="1134" w:type="dxa"/>
            <w:tcBorders>
              <w:tl2br w:val="nil"/>
              <w:tr2bl w:val="nil"/>
            </w:tcBorders>
            <w:vAlign w:val="center"/>
          </w:tcPr>
          <w:p>
            <w:pPr>
              <w:pStyle w:val="53"/>
            </w:pPr>
            <w:r>
              <w:rPr>
                <w:rFonts w:hint="eastAsia"/>
              </w:rPr>
              <w:t>累计</w:t>
            </w:r>
            <w:r>
              <w:t>完成工程量</w:t>
            </w:r>
          </w:p>
        </w:tc>
        <w:tc>
          <w:tcPr>
            <w:tcW w:w="1113" w:type="dxa"/>
            <w:tcBorders>
              <w:tl2br w:val="nil"/>
              <w:tr2bl w:val="nil"/>
            </w:tcBorders>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1062" w:type="dxa"/>
            <w:tcBorders>
              <w:tl2br w:val="nil"/>
              <w:tr2bl w:val="nil"/>
            </w:tcBorders>
            <w:vAlign w:val="center"/>
          </w:tcPr>
          <w:p>
            <w:pPr>
              <w:pStyle w:val="53"/>
            </w:pPr>
            <w:r>
              <w:rPr>
                <w:rFonts w:hint="eastAsia"/>
              </w:rPr>
              <w:t>主体工程区</w:t>
            </w:r>
          </w:p>
        </w:tc>
        <w:tc>
          <w:tcPr>
            <w:tcW w:w="1062" w:type="dxa"/>
            <w:tcBorders>
              <w:tl2br w:val="nil"/>
              <w:tr2bl w:val="nil"/>
            </w:tcBorders>
            <w:vAlign w:val="center"/>
          </w:tcPr>
          <w:p>
            <w:pPr>
              <w:pStyle w:val="53"/>
            </w:pPr>
            <w:r>
              <w:rPr>
                <w:rFonts w:hint="eastAsia"/>
              </w:rPr>
              <w:t>综合管廊区</w:t>
            </w:r>
          </w:p>
        </w:tc>
        <w:tc>
          <w:tcPr>
            <w:tcW w:w="1561" w:type="dxa"/>
            <w:tcBorders>
              <w:tl2br w:val="nil"/>
              <w:tr2bl w:val="nil"/>
            </w:tcBorders>
            <w:vAlign w:val="center"/>
          </w:tcPr>
          <w:p>
            <w:pPr>
              <w:pStyle w:val="53"/>
            </w:pPr>
            <w:r>
              <w:rPr>
                <w:rFonts w:hint="eastAsia"/>
              </w:rPr>
              <w:t>综合绿化</w:t>
            </w:r>
          </w:p>
        </w:tc>
        <w:tc>
          <w:tcPr>
            <w:tcW w:w="709" w:type="dxa"/>
            <w:tcBorders>
              <w:tl2br w:val="nil"/>
              <w:tr2bl w:val="nil"/>
            </w:tcBorders>
            <w:vAlign w:val="center"/>
          </w:tcPr>
          <w:p>
            <w:pPr>
              <w:pStyle w:val="53"/>
            </w:pPr>
            <w:r>
              <w:t>hm²</w:t>
            </w:r>
          </w:p>
        </w:tc>
        <w:tc>
          <w:tcPr>
            <w:tcW w:w="1134" w:type="dxa"/>
            <w:tcBorders>
              <w:tl2br w:val="nil"/>
              <w:tr2bl w:val="nil"/>
            </w:tcBorders>
            <w:vAlign w:val="center"/>
          </w:tcPr>
          <w:p>
            <w:pPr>
              <w:pStyle w:val="53"/>
            </w:pPr>
            <w:r>
              <w:rPr>
                <w:rFonts w:hint="eastAsia"/>
              </w:rPr>
              <w:t>6.58</w:t>
            </w:r>
          </w:p>
        </w:tc>
        <w:tc>
          <w:tcPr>
            <w:tcW w:w="1134" w:type="dxa"/>
            <w:tcBorders>
              <w:tl2br w:val="nil"/>
              <w:tr2bl w:val="nil"/>
            </w:tcBorders>
            <w:vAlign w:val="center"/>
          </w:tcPr>
          <w:p>
            <w:pPr>
              <w:pStyle w:val="53"/>
            </w:pPr>
            <w:r>
              <w:rPr>
                <w:rFonts w:hint="eastAsia"/>
              </w:rPr>
              <w:t>6.58</w:t>
            </w:r>
          </w:p>
        </w:tc>
        <w:tc>
          <w:tcPr>
            <w:tcW w:w="1113" w:type="dxa"/>
            <w:tcBorders>
              <w:tl2br w:val="nil"/>
              <w:tr2bl w:val="nil"/>
            </w:tcBorders>
            <w:vAlign w:val="center"/>
          </w:tcPr>
          <w:p>
            <w:pPr>
              <w:pStyle w:val="53"/>
            </w:pPr>
            <w:r>
              <w:rPr>
                <w:rFonts w:hint="eastAsia"/>
              </w:rPr>
              <w:t>100%</w:t>
            </w:r>
          </w:p>
        </w:tc>
      </w:tr>
    </w:tbl>
    <w:p>
      <w:pPr>
        <w:pStyle w:val="2"/>
        <w:ind w:firstLine="422"/>
        <w:jc w:val="center"/>
        <w:rPr>
          <w:rFonts w:eastAsia="仿宋_GB2312"/>
          <w:b/>
          <w:sz w:val="21"/>
          <w:szCs w:val="28"/>
        </w:rPr>
      </w:pPr>
    </w:p>
    <w:p>
      <w:pPr>
        <w:pStyle w:val="2"/>
        <w:ind w:firstLine="422"/>
        <w:jc w:val="center"/>
        <w:rPr>
          <w:rFonts w:eastAsia="仿宋_GB2312"/>
          <w:b/>
          <w:sz w:val="21"/>
          <w:szCs w:val="28"/>
        </w:rPr>
      </w:pPr>
    </w:p>
    <w:p>
      <w:pPr>
        <w:pStyle w:val="2"/>
        <w:ind w:firstLine="422"/>
        <w:jc w:val="center"/>
        <w:rPr>
          <w:rFonts w:eastAsia="仿宋_GB2312"/>
          <w:b/>
          <w:sz w:val="21"/>
          <w:szCs w:val="28"/>
        </w:rPr>
      </w:pPr>
    </w:p>
    <w:p>
      <w:pPr>
        <w:pStyle w:val="2"/>
        <w:ind w:firstLine="422"/>
        <w:jc w:val="center"/>
        <w:rPr>
          <w:rFonts w:eastAsia="仿宋_GB2312"/>
          <w:b/>
          <w:sz w:val="21"/>
          <w:szCs w:val="28"/>
        </w:rPr>
      </w:pPr>
    </w:p>
    <w:p>
      <w:pPr>
        <w:pStyle w:val="2"/>
        <w:ind w:firstLine="422"/>
        <w:jc w:val="center"/>
      </w:pPr>
      <w:r>
        <w:rPr>
          <w:rFonts w:hint="eastAsia" w:eastAsia="仿宋_GB2312"/>
          <w:b/>
          <w:sz w:val="21"/>
          <w:szCs w:val="28"/>
        </w:rPr>
        <w:t>表3-9植物措施照片</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8"/>
        <w:gridCol w:w="3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8" w:type="dxa"/>
            <w:tcBorders>
              <w:tl2br w:val="nil"/>
              <w:tr2bl w:val="nil"/>
            </w:tcBorders>
            <w:vAlign w:val="center"/>
          </w:tcPr>
          <w:p>
            <w:pPr>
              <w:pStyle w:val="53"/>
            </w:pPr>
            <w:r>
              <w:drawing>
                <wp:inline distT="0" distB="0" distL="85090" distR="85090">
                  <wp:extent cx="2430780" cy="1823085"/>
                  <wp:effectExtent l="0" t="0" r="46" b="4"/>
                  <wp:docPr id="37" name="图片"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descr="IMG_256"/>
                          <pic:cNvPicPr>
                            <a:picLocks noChangeAspect="1"/>
                          </pic:cNvPicPr>
                        </pic:nvPicPr>
                        <pic:blipFill>
                          <a:blip r:embed="rId26"/>
                          <a:stretch>
                            <a:fillRect/>
                          </a:stretch>
                        </pic:blipFill>
                        <pic:spPr>
                          <a:xfrm>
                            <a:off x="0" y="0"/>
                            <a:ext cx="2430792" cy="1823156"/>
                          </a:xfrm>
                          <a:prstGeom prst="rect">
                            <a:avLst/>
                          </a:prstGeom>
                          <a:noFill/>
                          <a:ln w="9525" cap="flat" cmpd="sng">
                            <a:noFill/>
                            <a:prstDash val="solid"/>
                            <a:miter/>
                          </a:ln>
                        </pic:spPr>
                      </pic:pic>
                    </a:graphicData>
                  </a:graphic>
                </wp:inline>
              </w:drawing>
            </w:r>
          </w:p>
        </w:tc>
        <w:tc>
          <w:tcPr>
            <w:tcW w:w="3864" w:type="dxa"/>
            <w:tcBorders>
              <w:tl2br w:val="nil"/>
              <w:tr2bl w:val="nil"/>
            </w:tcBorders>
            <w:vAlign w:val="center"/>
          </w:tcPr>
          <w:p>
            <w:pPr>
              <w:pStyle w:val="53"/>
            </w:pPr>
            <w:r>
              <w:rPr>
                <w:rFonts w:hint="eastAsia"/>
              </w:rPr>
              <w:drawing>
                <wp:inline distT="0" distB="0" distL="85090" distR="85090">
                  <wp:extent cx="2489835" cy="1776730"/>
                  <wp:effectExtent l="0" t="0" r="1" b="18"/>
                  <wp:docPr id="40" name="图片" descr="项目部植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descr="项目部植树"/>
                          <pic:cNvPicPr>
                            <a:picLocks noChangeAspect="1"/>
                          </pic:cNvPicPr>
                        </pic:nvPicPr>
                        <pic:blipFill>
                          <a:blip r:embed="rId27"/>
                          <a:stretch>
                            <a:fillRect/>
                          </a:stretch>
                        </pic:blipFill>
                        <pic:spPr>
                          <a:xfrm>
                            <a:off x="0" y="0"/>
                            <a:ext cx="2490463" cy="1777319"/>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8" w:type="dxa"/>
            <w:tcBorders>
              <w:tl2br w:val="nil"/>
              <w:tr2bl w:val="nil"/>
            </w:tcBorders>
            <w:vAlign w:val="center"/>
          </w:tcPr>
          <w:p>
            <w:pPr>
              <w:pStyle w:val="53"/>
            </w:pPr>
            <w:r>
              <w:rPr>
                <w:rFonts w:hint="eastAsia"/>
              </w:rPr>
              <w:t>绿化</w:t>
            </w:r>
          </w:p>
        </w:tc>
        <w:tc>
          <w:tcPr>
            <w:tcW w:w="3864" w:type="dxa"/>
            <w:tcBorders>
              <w:tl2br w:val="nil"/>
              <w:tr2bl w:val="nil"/>
            </w:tcBorders>
            <w:vAlign w:val="center"/>
          </w:tcPr>
          <w:p>
            <w:pPr>
              <w:pStyle w:val="53"/>
            </w:pPr>
            <w:r>
              <w:rPr>
                <w:rFonts w:hint="eastAsia"/>
              </w:rPr>
              <w:t>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8" w:type="dxa"/>
            <w:tcBorders>
              <w:tl2br w:val="nil"/>
              <w:tr2bl w:val="nil"/>
            </w:tcBorders>
            <w:vAlign w:val="center"/>
          </w:tcPr>
          <w:p>
            <w:pPr>
              <w:pStyle w:val="53"/>
            </w:pPr>
            <w:r>
              <w:rPr>
                <w:rFonts w:hint="eastAsia"/>
              </w:rPr>
              <w:drawing>
                <wp:inline distT="0" distB="0" distL="85090" distR="85090">
                  <wp:extent cx="2319655" cy="1673225"/>
                  <wp:effectExtent l="0" t="0" r="41" b="8"/>
                  <wp:docPr id="49" name="图片" descr="1284e569c2259b27ab37940a2a9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descr="1284e569c2259b27ab37940a2a95090"/>
                          <pic:cNvPicPr>
                            <a:picLocks noChangeAspect="1"/>
                          </pic:cNvPicPr>
                        </pic:nvPicPr>
                        <pic:blipFill>
                          <a:blip r:embed="rId28"/>
                          <a:stretch>
                            <a:fillRect/>
                          </a:stretch>
                        </pic:blipFill>
                        <pic:spPr>
                          <a:xfrm>
                            <a:off x="0" y="0"/>
                            <a:ext cx="2319737" cy="1673239"/>
                          </a:xfrm>
                          <a:prstGeom prst="rect">
                            <a:avLst/>
                          </a:prstGeom>
                          <a:noFill/>
                          <a:ln w="9525" cap="flat" cmpd="sng">
                            <a:noFill/>
                            <a:prstDash val="solid"/>
                            <a:miter/>
                          </a:ln>
                        </pic:spPr>
                      </pic:pic>
                    </a:graphicData>
                  </a:graphic>
                </wp:inline>
              </w:drawing>
            </w:r>
          </w:p>
        </w:tc>
        <w:tc>
          <w:tcPr>
            <w:tcW w:w="3864" w:type="dxa"/>
            <w:tcBorders>
              <w:tl2br w:val="nil"/>
              <w:tr2bl w:val="nil"/>
            </w:tcBorders>
            <w:vAlign w:val="center"/>
          </w:tcPr>
          <w:p>
            <w:pPr>
              <w:pStyle w:val="53"/>
            </w:pPr>
            <w:r>
              <w:drawing>
                <wp:inline distT="0" distB="0" distL="0" distR="0">
                  <wp:extent cx="2435860" cy="1697355"/>
                  <wp:effectExtent l="0" t="0" r="2540" b="0"/>
                  <wp:docPr id="3" name="图片 4" descr="IMG_20200326_13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0200326_1326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435860" cy="16973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8" w:type="dxa"/>
            <w:tcBorders>
              <w:tl2br w:val="nil"/>
              <w:tr2bl w:val="nil"/>
            </w:tcBorders>
            <w:vAlign w:val="center"/>
          </w:tcPr>
          <w:p>
            <w:pPr>
              <w:pStyle w:val="53"/>
            </w:pPr>
            <w:r>
              <w:rPr>
                <w:rFonts w:hint="eastAsia"/>
              </w:rPr>
              <w:t>绿化</w:t>
            </w:r>
          </w:p>
        </w:tc>
        <w:tc>
          <w:tcPr>
            <w:tcW w:w="3864" w:type="dxa"/>
            <w:tcBorders>
              <w:tl2br w:val="nil"/>
              <w:tr2bl w:val="nil"/>
            </w:tcBorders>
            <w:vAlign w:val="center"/>
          </w:tcPr>
          <w:p>
            <w:pPr>
              <w:pStyle w:val="53"/>
            </w:pPr>
            <w:r>
              <w:rPr>
                <w:rFonts w:hint="eastAsia"/>
              </w:rPr>
              <w:t>绿化</w:t>
            </w:r>
          </w:p>
        </w:tc>
      </w:tr>
    </w:tbl>
    <w:p>
      <w:pPr>
        <w:ind w:firstLine="480"/>
      </w:pPr>
      <w:bookmarkStart w:id="76" w:name="_Toc488500356"/>
      <w:bookmarkStart w:id="77" w:name="_Toc488301788"/>
      <w:bookmarkStart w:id="78" w:name="_Toc488500067"/>
      <w:bookmarkStart w:id="79" w:name="_Toc488237510"/>
      <w:bookmarkStart w:id="80" w:name="_Toc510804544"/>
      <w:bookmarkStart w:id="81" w:name="_Toc488499939"/>
      <w:bookmarkStart w:id="82" w:name="_Toc503252482"/>
      <w:r>
        <w:rPr>
          <w:rFonts w:hint="eastAsia"/>
        </w:rPr>
        <w:t>总体上各分区水土保持植物措施基本已按照水土保持方案设计进行实施。水土保持植物措施防治责任基本得到落实。植物措施已按照相应的设计标准进行了施工，符合有关标准要求，起到了良好的保护水土资源作用。</w:t>
      </w:r>
      <w:bookmarkEnd w:id="76"/>
      <w:bookmarkEnd w:id="77"/>
      <w:bookmarkEnd w:id="78"/>
      <w:bookmarkEnd w:id="79"/>
      <w:bookmarkEnd w:id="80"/>
      <w:bookmarkEnd w:id="81"/>
      <w:bookmarkEnd w:id="82"/>
    </w:p>
    <w:p>
      <w:pPr>
        <w:pStyle w:val="5"/>
        <w:ind w:firstLine="562"/>
      </w:pPr>
      <w:bookmarkStart w:id="83" w:name="_Toc529801408"/>
      <w:bookmarkStart w:id="84" w:name="_Toc31252"/>
      <w:bookmarkStart w:id="85" w:name="_Toc529379721"/>
      <w:r>
        <w:t>3.</w:t>
      </w:r>
      <w:r>
        <w:rPr>
          <w:rFonts w:hint="eastAsia"/>
        </w:rPr>
        <w:t>3</w:t>
      </w:r>
      <w:r>
        <w:t>.3 临时防治措施及实施进度</w:t>
      </w:r>
      <w:bookmarkEnd w:id="71"/>
      <w:bookmarkEnd w:id="72"/>
      <w:bookmarkEnd w:id="73"/>
      <w:bookmarkEnd w:id="74"/>
      <w:bookmarkEnd w:id="75"/>
      <w:bookmarkEnd w:id="83"/>
      <w:bookmarkEnd w:id="84"/>
      <w:bookmarkEnd w:id="85"/>
    </w:p>
    <w:p>
      <w:pPr>
        <w:ind w:firstLine="480"/>
      </w:pPr>
      <w:r>
        <w:rPr>
          <w:rFonts w:hint="eastAsia"/>
        </w:rPr>
        <w:t>景观绿化工程实施时间从2015年7月开始实施，到2017年12月全部完成，与方案设计一致。</w:t>
      </w:r>
    </w:p>
    <w:p>
      <w:pPr>
        <w:pStyle w:val="2"/>
        <w:ind w:firstLine="480"/>
      </w:pPr>
      <w:r>
        <w:rPr>
          <w:rFonts w:hint="eastAsia"/>
        </w:rPr>
        <w:t>1.建筑物区</w:t>
      </w:r>
    </w:p>
    <w:p>
      <w:pPr>
        <w:pStyle w:val="2"/>
        <w:ind w:firstLine="480"/>
      </w:pPr>
      <w:r>
        <w:rPr>
          <w:rFonts w:hint="eastAsia"/>
        </w:rPr>
        <w:t>临时措施：</w:t>
      </w:r>
      <w:r>
        <w:t>沉淀池17个</w:t>
      </w:r>
      <w:r>
        <w:rPr>
          <w:rFonts w:hint="eastAsia"/>
        </w:rPr>
        <w:t>，</w:t>
      </w:r>
      <w:r>
        <w:t>密目网18000m</w:t>
      </w:r>
      <w:r>
        <w:rPr>
          <w:vertAlign w:val="superscript"/>
        </w:rPr>
        <w:t>2</w:t>
      </w:r>
      <w:r>
        <w:rPr>
          <w:rFonts w:hint="eastAsia"/>
        </w:rPr>
        <w:t>。</w:t>
      </w:r>
    </w:p>
    <w:p>
      <w:pPr>
        <w:pStyle w:val="2"/>
        <w:snapToGrid w:val="0"/>
        <w:ind w:left="0" w:firstLine="442"/>
        <w:jc w:val="center"/>
        <w:rPr>
          <w:rFonts w:ascii="仿宋_GB2312" w:eastAsia="仿宋_GB2312"/>
          <w:b/>
          <w:sz w:val="22"/>
          <w:szCs w:val="22"/>
        </w:rPr>
      </w:pPr>
      <w:r>
        <w:rPr>
          <w:rFonts w:hint="eastAsia" w:ascii="仿宋_GB2312" w:eastAsia="仿宋_GB2312"/>
          <w:b/>
          <w:sz w:val="22"/>
          <w:szCs w:val="22"/>
        </w:rPr>
        <w:t>表</w:t>
      </w:r>
      <w:r>
        <w:rPr>
          <w:rFonts w:hint="eastAsia" w:eastAsia="仿宋_GB2312"/>
          <w:b/>
          <w:sz w:val="22"/>
          <w:szCs w:val="22"/>
        </w:rPr>
        <w:t>3-10</w:t>
      </w:r>
      <w:r>
        <w:rPr>
          <w:rFonts w:ascii="仿宋_GB2312" w:eastAsia="仿宋_GB2312"/>
          <w:b/>
          <w:sz w:val="22"/>
          <w:szCs w:val="22"/>
        </w:rPr>
        <w:t xml:space="preserve"> </w:t>
      </w:r>
      <w:r>
        <w:rPr>
          <w:rFonts w:hint="eastAsia" w:ascii="仿宋_GB2312" w:eastAsia="仿宋_GB2312"/>
          <w:b/>
          <w:sz w:val="22"/>
          <w:szCs w:val="22"/>
        </w:rPr>
        <w:t>建筑物区水土保持临时措施工程量统计表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rPr>
                <w:lang w:eastAsia="en-US"/>
              </w:rPr>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vAlign w:val="center"/>
          </w:tcPr>
          <w:p>
            <w:pPr>
              <w:pStyle w:val="53"/>
            </w:pPr>
            <w:r>
              <w:rPr>
                <w:rFonts w:hint="eastAsia"/>
              </w:rPr>
              <w:t>建筑物区</w:t>
            </w:r>
          </w:p>
        </w:tc>
        <w:tc>
          <w:tcPr>
            <w:tcW w:w="1561" w:type="dxa"/>
            <w:vAlign w:val="center"/>
          </w:tcPr>
          <w:p>
            <w:pPr>
              <w:pStyle w:val="53"/>
            </w:pPr>
            <w:r>
              <w:rPr>
                <w:rFonts w:hint="eastAsia"/>
              </w:rPr>
              <w:t>沉淀池</w:t>
            </w:r>
          </w:p>
        </w:tc>
        <w:tc>
          <w:tcPr>
            <w:tcW w:w="709" w:type="dxa"/>
            <w:vAlign w:val="center"/>
          </w:tcPr>
          <w:p>
            <w:pPr>
              <w:pStyle w:val="53"/>
            </w:pPr>
            <w:r>
              <w:rPr>
                <w:rFonts w:hint="eastAsia"/>
              </w:rPr>
              <w:t>个</w:t>
            </w:r>
          </w:p>
        </w:tc>
        <w:tc>
          <w:tcPr>
            <w:tcW w:w="1134" w:type="dxa"/>
            <w:vAlign w:val="center"/>
          </w:tcPr>
          <w:p>
            <w:pPr>
              <w:pStyle w:val="53"/>
            </w:pPr>
            <w:r>
              <w:rPr>
                <w:rFonts w:hint="eastAsia"/>
              </w:rPr>
              <w:t>17</w:t>
            </w:r>
          </w:p>
        </w:tc>
        <w:tc>
          <w:tcPr>
            <w:tcW w:w="1134" w:type="dxa"/>
            <w:vAlign w:val="center"/>
          </w:tcPr>
          <w:p>
            <w:pPr>
              <w:pStyle w:val="53"/>
            </w:pPr>
            <w:r>
              <w:rPr>
                <w:rFonts w:hint="eastAsia"/>
              </w:rPr>
              <w:t>17</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3"/>
            </w:pPr>
            <w:r>
              <w:rPr>
                <w:rFonts w:hint="eastAsia"/>
              </w:rPr>
              <w:t>密目网</w:t>
            </w:r>
          </w:p>
        </w:tc>
        <w:tc>
          <w:tcPr>
            <w:tcW w:w="709" w:type="dxa"/>
            <w:vAlign w:val="center"/>
          </w:tcPr>
          <w:p>
            <w:pPr>
              <w:pStyle w:val="53"/>
            </w:pPr>
            <w:r>
              <w:t>m</w:t>
            </w:r>
            <w:r>
              <w:rPr>
                <w:rFonts w:hint="eastAsia"/>
                <w:vertAlign w:val="superscript"/>
              </w:rPr>
              <w:t>2</w:t>
            </w:r>
          </w:p>
        </w:tc>
        <w:tc>
          <w:tcPr>
            <w:tcW w:w="1134" w:type="dxa"/>
            <w:vAlign w:val="center"/>
          </w:tcPr>
          <w:p>
            <w:pPr>
              <w:pStyle w:val="53"/>
            </w:pPr>
            <w:r>
              <w:rPr>
                <w:rFonts w:hint="eastAsia"/>
              </w:rPr>
              <w:t>18000</w:t>
            </w:r>
          </w:p>
        </w:tc>
        <w:tc>
          <w:tcPr>
            <w:tcW w:w="1134" w:type="dxa"/>
            <w:vAlign w:val="center"/>
          </w:tcPr>
          <w:p>
            <w:pPr>
              <w:pStyle w:val="53"/>
            </w:pPr>
            <w:r>
              <w:rPr>
                <w:rFonts w:hint="eastAsia"/>
              </w:rPr>
              <w:t>18000</w:t>
            </w:r>
          </w:p>
        </w:tc>
        <w:tc>
          <w:tcPr>
            <w:tcW w:w="1113" w:type="dxa"/>
            <w:vAlign w:val="center"/>
          </w:tcPr>
          <w:p>
            <w:pPr>
              <w:pStyle w:val="53"/>
            </w:pPr>
            <w:r>
              <w:rPr>
                <w:rFonts w:hint="eastAsia"/>
              </w:rPr>
              <w:t>100%</w:t>
            </w:r>
          </w:p>
        </w:tc>
      </w:tr>
    </w:tbl>
    <w:p>
      <w:pPr>
        <w:pStyle w:val="2"/>
        <w:ind w:firstLine="480"/>
      </w:pPr>
    </w:p>
    <w:p>
      <w:pPr>
        <w:pStyle w:val="2"/>
        <w:ind w:firstLine="480"/>
      </w:pPr>
      <w:r>
        <w:rPr>
          <w:rFonts w:hint="eastAsia"/>
        </w:rPr>
        <w:t>2.</w:t>
      </w:r>
      <w:r>
        <w:t>道路及硬化场地区</w:t>
      </w:r>
    </w:p>
    <w:p>
      <w:pPr>
        <w:pStyle w:val="2"/>
        <w:ind w:firstLine="480"/>
      </w:pPr>
      <w:r>
        <w:t>临时措施：车辆洗车槽2处</w:t>
      </w:r>
      <w:r>
        <w:rPr>
          <w:rFonts w:hint="eastAsia"/>
        </w:rPr>
        <w:t>，临时砖砌沉沙池22个（其中东区17个，西区5个） ；沿场区外围布置临时砖砌排水沟2550m（其中东区1900m，西区650m）；设置密目网22000m</w:t>
      </w:r>
      <w:r>
        <w:rPr>
          <w:rFonts w:hint="eastAsia"/>
          <w:sz w:val="21"/>
          <w:szCs w:val="22"/>
          <w:vertAlign w:val="superscript"/>
        </w:rPr>
        <w:t>2</w:t>
      </w:r>
      <w:r>
        <w:rPr>
          <w:rFonts w:hint="eastAsia"/>
        </w:rPr>
        <w:t>（其中东区15000m</w:t>
      </w:r>
      <w:r>
        <w:rPr>
          <w:rFonts w:hint="eastAsia"/>
          <w:sz w:val="21"/>
          <w:szCs w:val="22"/>
          <w:vertAlign w:val="superscript"/>
        </w:rPr>
        <w:t>2</w:t>
      </w:r>
      <w:r>
        <w:rPr>
          <w:rFonts w:hint="eastAsia"/>
        </w:rPr>
        <w:t>，西区7000m</w:t>
      </w:r>
      <w:r>
        <w:rPr>
          <w:rFonts w:hint="eastAsia"/>
          <w:sz w:val="21"/>
          <w:szCs w:val="22"/>
          <w:vertAlign w:val="superscript"/>
        </w:rPr>
        <w:t>2</w:t>
      </w:r>
      <w:r>
        <w:rPr>
          <w:rFonts w:hint="eastAsia"/>
        </w:rPr>
        <w:t>）。</w:t>
      </w:r>
    </w:p>
    <w:p>
      <w:pPr>
        <w:pStyle w:val="2"/>
        <w:snapToGrid w:val="0"/>
        <w:ind w:left="0" w:firstLine="442"/>
        <w:jc w:val="center"/>
        <w:rPr>
          <w:rFonts w:ascii="仿宋_GB2312" w:eastAsia="仿宋_GB2312"/>
          <w:b/>
          <w:sz w:val="22"/>
          <w:szCs w:val="22"/>
        </w:rPr>
      </w:pPr>
      <w:r>
        <w:rPr>
          <w:rFonts w:hint="eastAsia" w:ascii="仿宋_GB2312" w:eastAsia="仿宋_GB2312"/>
          <w:b/>
          <w:sz w:val="22"/>
          <w:szCs w:val="22"/>
        </w:rPr>
        <w:t>表</w:t>
      </w:r>
      <w:r>
        <w:rPr>
          <w:rFonts w:hint="eastAsia" w:eastAsia="仿宋_GB2312"/>
          <w:b/>
          <w:sz w:val="22"/>
          <w:szCs w:val="22"/>
        </w:rPr>
        <w:t>3-11</w:t>
      </w:r>
      <w:r>
        <w:rPr>
          <w:rFonts w:ascii="仿宋_GB2312" w:eastAsia="仿宋_GB2312"/>
          <w:b/>
          <w:sz w:val="22"/>
          <w:szCs w:val="22"/>
        </w:rPr>
        <w:t xml:space="preserve"> 道路及硬化场地区</w:t>
      </w:r>
      <w:r>
        <w:rPr>
          <w:rFonts w:hint="eastAsia" w:ascii="仿宋_GB2312" w:eastAsia="仿宋_GB2312"/>
          <w:b/>
          <w:sz w:val="22"/>
          <w:szCs w:val="22"/>
        </w:rPr>
        <w:t>水土保持临时措施工程量统计表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rPr>
                <w:lang w:eastAsia="en-US"/>
              </w:rPr>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vAlign w:val="center"/>
          </w:tcPr>
          <w:p>
            <w:pPr>
              <w:pStyle w:val="53"/>
            </w:pPr>
            <w:r>
              <w:rPr>
                <w:rFonts w:hint="eastAsia"/>
              </w:rPr>
              <w:t>道路及硬化场地区</w:t>
            </w:r>
          </w:p>
        </w:tc>
        <w:tc>
          <w:tcPr>
            <w:tcW w:w="1561" w:type="dxa"/>
            <w:vAlign w:val="center"/>
          </w:tcPr>
          <w:p>
            <w:pPr>
              <w:pStyle w:val="53"/>
            </w:pPr>
            <w:r>
              <w:rPr>
                <w:rFonts w:hint="eastAsia"/>
              </w:rPr>
              <w:t>车辆洗车槽</w:t>
            </w:r>
          </w:p>
        </w:tc>
        <w:tc>
          <w:tcPr>
            <w:tcW w:w="709" w:type="dxa"/>
            <w:vAlign w:val="center"/>
          </w:tcPr>
          <w:p>
            <w:pPr>
              <w:pStyle w:val="53"/>
            </w:pPr>
            <w:r>
              <w:rPr>
                <w:rFonts w:hint="eastAsia"/>
              </w:rPr>
              <w:t>处</w:t>
            </w:r>
          </w:p>
        </w:tc>
        <w:tc>
          <w:tcPr>
            <w:tcW w:w="1134" w:type="dxa"/>
            <w:vAlign w:val="center"/>
          </w:tcPr>
          <w:p>
            <w:pPr>
              <w:pStyle w:val="53"/>
            </w:pPr>
            <w:r>
              <w:rPr>
                <w:rFonts w:hint="eastAsia"/>
              </w:rPr>
              <w:t>2</w:t>
            </w:r>
          </w:p>
        </w:tc>
        <w:tc>
          <w:tcPr>
            <w:tcW w:w="1134" w:type="dxa"/>
            <w:vAlign w:val="center"/>
          </w:tcPr>
          <w:p>
            <w:pPr>
              <w:pStyle w:val="53"/>
            </w:pPr>
            <w:r>
              <w:rPr>
                <w:rFonts w:hint="eastAsia"/>
              </w:rPr>
              <w:t>2</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3"/>
            </w:pPr>
            <w:r>
              <w:rPr>
                <w:rFonts w:hint="eastAsia"/>
              </w:rPr>
              <w:t>砖砌沉沙池</w:t>
            </w:r>
          </w:p>
        </w:tc>
        <w:tc>
          <w:tcPr>
            <w:tcW w:w="709" w:type="dxa"/>
            <w:vAlign w:val="center"/>
          </w:tcPr>
          <w:p>
            <w:pPr>
              <w:pStyle w:val="53"/>
            </w:pPr>
            <w:r>
              <w:rPr>
                <w:rFonts w:hint="eastAsia"/>
              </w:rPr>
              <w:t>个</w:t>
            </w:r>
          </w:p>
        </w:tc>
        <w:tc>
          <w:tcPr>
            <w:tcW w:w="1134" w:type="dxa"/>
            <w:vAlign w:val="center"/>
          </w:tcPr>
          <w:p>
            <w:pPr>
              <w:pStyle w:val="53"/>
            </w:pPr>
            <w:r>
              <w:rPr>
                <w:rFonts w:hint="eastAsia"/>
              </w:rPr>
              <w:t>22</w:t>
            </w:r>
          </w:p>
        </w:tc>
        <w:tc>
          <w:tcPr>
            <w:tcW w:w="1134" w:type="dxa"/>
            <w:vAlign w:val="center"/>
          </w:tcPr>
          <w:p>
            <w:pPr>
              <w:pStyle w:val="53"/>
            </w:pPr>
            <w:r>
              <w:rPr>
                <w:rFonts w:hint="eastAsia"/>
              </w:rPr>
              <w:t>22</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3"/>
            </w:pPr>
            <w:r>
              <w:rPr>
                <w:rFonts w:hint="eastAsia"/>
              </w:rPr>
              <w:t>排水沟</w:t>
            </w:r>
          </w:p>
        </w:tc>
        <w:tc>
          <w:tcPr>
            <w:tcW w:w="709" w:type="dxa"/>
            <w:vAlign w:val="center"/>
          </w:tcPr>
          <w:p>
            <w:pPr>
              <w:pStyle w:val="53"/>
            </w:pPr>
            <w:r>
              <w:rPr>
                <w:rFonts w:hint="eastAsia"/>
              </w:rPr>
              <w:t>m</w:t>
            </w:r>
          </w:p>
        </w:tc>
        <w:tc>
          <w:tcPr>
            <w:tcW w:w="1134" w:type="dxa"/>
            <w:vAlign w:val="center"/>
          </w:tcPr>
          <w:p>
            <w:pPr>
              <w:pStyle w:val="53"/>
            </w:pPr>
            <w:r>
              <w:rPr>
                <w:rFonts w:hint="eastAsia"/>
              </w:rPr>
              <w:t>2550</w:t>
            </w:r>
          </w:p>
        </w:tc>
        <w:tc>
          <w:tcPr>
            <w:tcW w:w="1134" w:type="dxa"/>
            <w:vAlign w:val="center"/>
          </w:tcPr>
          <w:p>
            <w:pPr>
              <w:pStyle w:val="53"/>
            </w:pPr>
            <w:r>
              <w:rPr>
                <w:rFonts w:hint="eastAsia"/>
              </w:rPr>
              <w:t>2550</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3"/>
            </w:pPr>
            <w:r>
              <w:rPr>
                <w:rFonts w:hint="eastAsia"/>
              </w:rPr>
              <w:t>密目网</w:t>
            </w:r>
          </w:p>
        </w:tc>
        <w:tc>
          <w:tcPr>
            <w:tcW w:w="709" w:type="dxa"/>
            <w:vAlign w:val="center"/>
          </w:tcPr>
          <w:p>
            <w:pPr>
              <w:pStyle w:val="53"/>
            </w:pPr>
            <w:r>
              <w:t>m</w:t>
            </w:r>
            <w:r>
              <w:rPr>
                <w:rFonts w:hint="eastAsia"/>
                <w:vertAlign w:val="superscript"/>
              </w:rPr>
              <w:t>2</w:t>
            </w:r>
          </w:p>
        </w:tc>
        <w:tc>
          <w:tcPr>
            <w:tcW w:w="1134" w:type="dxa"/>
            <w:vAlign w:val="center"/>
          </w:tcPr>
          <w:p>
            <w:pPr>
              <w:pStyle w:val="53"/>
            </w:pPr>
            <w:r>
              <w:rPr>
                <w:rFonts w:hint="eastAsia"/>
              </w:rPr>
              <w:t>22000</w:t>
            </w:r>
          </w:p>
        </w:tc>
        <w:tc>
          <w:tcPr>
            <w:tcW w:w="1134" w:type="dxa"/>
            <w:vAlign w:val="center"/>
          </w:tcPr>
          <w:p>
            <w:pPr>
              <w:pStyle w:val="53"/>
            </w:pPr>
            <w:r>
              <w:rPr>
                <w:rFonts w:hint="eastAsia"/>
              </w:rPr>
              <w:t>22000</w:t>
            </w:r>
          </w:p>
        </w:tc>
        <w:tc>
          <w:tcPr>
            <w:tcW w:w="1113" w:type="dxa"/>
            <w:vAlign w:val="center"/>
          </w:tcPr>
          <w:p>
            <w:pPr>
              <w:pStyle w:val="53"/>
            </w:pPr>
            <w:r>
              <w:rPr>
                <w:rFonts w:hint="eastAsia"/>
              </w:rPr>
              <w:t>100%</w:t>
            </w:r>
          </w:p>
        </w:tc>
      </w:tr>
    </w:tbl>
    <w:p>
      <w:pPr>
        <w:pStyle w:val="2"/>
        <w:ind w:firstLine="480"/>
      </w:pPr>
    </w:p>
    <w:p>
      <w:pPr>
        <w:pStyle w:val="2"/>
        <w:ind w:firstLine="480"/>
      </w:pPr>
      <w:r>
        <w:rPr>
          <w:rFonts w:hint="eastAsia"/>
        </w:rPr>
        <w:t>3.</w:t>
      </w:r>
      <w:r>
        <w:t>绿化区</w:t>
      </w:r>
    </w:p>
    <w:p>
      <w:pPr>
        <w:pStyle w:val="2"/>
        <w:ind w:firstLine="480"/>
      </w:pPr>
      <w:r>
        <w:t>临时措施：密目网12000m</w:t>
      </w:r>
      <w:r>
        <w:rPr>
          <w:vertAlign w:val="superscript"/>
        </w:rPr>
        <w:t>2</w:t>
      </w:r>
      <w:r>
        <w:t>。</w:t>
      </w:r>
    </w:p>
    <w:p>
      <w:pPr>
        <w:pStyle w:val="2"/>
        <w:ind w:firstLine="442"/>
        <w:jc w:val="center"/>
      </w:pPr>
      <w:r>
        <w:rPr>
          <w:rFonts w:hint="eastAsia" w:ascii="仿宋_GB2312" w:eastAsia="仿宋_GB2312"/>
          <w:b/>
          <w:sz w:val="22"/>
          <w:szCs w:val="22"/>
        </w:rPr>
        <w:t>表</w:t>
      </w:r>
      <w:r>
        <w:rPr>
          <w:rFonts w:hint="eastAsia" w:eastAsia="仿宋_GB2312"/>
          <w:b/>
          <w:sz w:val="22"/>
          <w:szCs w:val="22"/>
        </w:rPr>
        <w:t>3-12</w:t>
      </w:r>
      <w:r>
        <w:rPr>
          <w:rFonts w:ascii="仿宋_GB2312" w:eastAsia="仿宋_GB2312"/>
          <w:b/>
          <w:sz w:val="22"/>
          <w:szCs w:val="22"/>
        </w:rPr>
        <w:t xml:space="preserve"> 绿化区</w:t>
      </w:r>
      <w:r>
        <w:rPr>
          <w:rFonts w:hint="eastAsia" w:ascii="仿宋_GB2312" w:eastAsia="仿宋_GB2312"/>
          <w:b/>
          <w:sz w:val="22"/>
          <w:szCs w:val="22"/>
        </w:rPr>
        <w:t>水土保持临时措施工程量统计表</w:t>
      </w:r>
    </w:p>
    <w:tbl>
      <w:tblPr>
        <w:tblStyle w:val="23"/>
        <w:tblpPr w:leftFromText="180" w:rightFromText="180" w:vertAnchor="text" w:horzAnchor="page" w:tblpXSpec="center" w:tblpY="285"/>
        <w:tblOverlap w:val="never"/>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rPr>
                <w:lang w:eastAsia="en-US"/>
              </w:rPr>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Align w:val="center"/>
          </w:tcPr>
          <w:p>
            <w:pPr>
              <w:pStyle w:val="53"/>
            </w:pPr>
            <w:r>
              <w:rPr>
                <w:rFonts w:hint="eastAsia"/>
              </w:rPr>
              <w:t>绿化区</w:t>
            </w:r>
          </w:p>
        </w:tc>
        <w:tc>
          <w:tcPr>
            <w:tcW w:w="1561" w:type="dxa"/>
            <w:vAlign w:val="center"/>
          </w:tcPr>
          <w:p>
            <w:pPr>
              <w:pStyle w:val="53"/>
            </w:pPr>
            <w:r>
              <w:rPr>
                <w:rFonts w:hint="eastAsia"/>
              </w:rPr>
              <w:t>密目网</w:t>
            </w:r>
          </w:p>
        </w:tc>
        <w:tc>
          <w:tcPr>
            <w:tcW w:w="709" w:type="dxa"/>
            <w:vAlign w:val="center"/>
          </w:tcPr>
          <w:p>
            <w:pPr>
              <w:pStyle w:val="53"/>
            </w:pPr>
            <w:r>
              <w:t>m</w:t>
            </w:r>
            <w:r>
              <w:rPr>
                <w:rFonts w:hint="eastAsia"/>
                <w:vertAlign w:val="superscript"/>
              </w:rPr>
              <w:t>2</w:t>
            </w:r>
          </w:p>
        </w:tc>
        <w:tc>
          <w:tcPr>
            <w:tcW w:w="1134" w:type="dxa"/>
            <w:vAlign w:val="center"/>
          </w:tcPr>
          <w:p>
            <w:pPr>
              <w:pStyle w:val="53"/>
            </w:pPr>
            <w:r>
              <w:rPr>
                <w:rFonts w:hint="eastAsia"/>
              </w:rPr>
              <w:t>12000</w:t>
            </w:r>
          </w:p>
        </w:tc>
        <w:tc>
          <w:tcPr>
            <w:tcW w:w="1134" w:type="dxa"/>
            <w:vAlign w:val="center"/>
          </w:tcPr>
          <w:p>
            <w:pPr>
              <w:pStyle w:val="53"/>
            </w:pPr>
            <w:r>
              <w:rPr>
                <w:rFonts w:hint="eastAsia"/>
              </w:rPr>
              <w:t>12000</w:t>
            </w:r>
          </w:p>
        </w:tc>
        <w:tc>
          <w:tcPr>
            <w:tcW w:w="1113" w:type="dxa"/>
            <w:vAlign w:val="center"/>
          </w:tcPr>
          <w:p>
            <w:pPr>
              <w:pStyle w:val="53"/>
            </w:pPr>
            <w:r>
              <w:rPr>
                <w:rFonts w:hint="eastAsia"/>
              </w:rPr>
              <w:t>100%</w:t>
            </w:r>
          </w:p>
        </w:tc>
      </w:tr>
    </w:tbl>
    <w:p>
      <w:pPr>
        <w:pStyle w:val="2"/>
        <w:snapToGrid w:val="0"/>
        <w:ind w:left="0" w:firstLine="442"/>
        <w:jc w:val="center"/>
        <w:rPr>
          <w:rFonts w:ascii="仿宋_GB2312" w:eastAsia="仿宋_GB2312"/>
          <w:b/>
          <w:sz w:val="22"/>
          <w:szCs w:val="22"/>
        </w:rPr>
      </w:pPr>
    </w:p>
    <w:p>
      <w:pPr>
        <w:pStyle w:val="2"/>
        <w:ind w:firstLine="480"/>
      </w:pPr>
      <w:r>
        <w:rPr>
          <w:rFonts w:hint="eastAsia"/>
        </w:rPr>
        <w:t>4.施工场地</w:t>
      </w:r>
    </w:p>
    <w:p>
      <w:pPr>
        <w:pStyle w:val="2"/>
        <w:ind w:firstLine="480"/>
      </w:pPr>
      <w:r>
        <w:t>临时措施：排水沟为400m（</w:t>
      </w:r>
      <w:r>
        <w:tab/>
      </w:r>
      <w:r>
        <w:t>其中东区220m，西区180m），设置沉沙池2个。</w:t>
      </w:r>
    </w:p>
    <w:p>
      <w:pPr>
        <w:pStyle w:val="2"/>
        <w:snapToGrid w:val="0"/>
        <w:ind w:left="0" w:firstLine="442"/>
        <w:jc w:val="center"/>
        <w:rPr>
          <w:rFonts w:ascii="仿宋_GB2312" w:eastAsia="仿宋_GB2312"/>
          <w:b/>
          <w:sz w:val="22"/>
          <w:szCs w:val="22"/>
        </w:rPr>
      </w:pPr>
      <w:r>
        <w:rPr>
          <w:rFonts w:hint="eastAsia" w:ascii="仿宋_GB2312" w:eastAsia="仿宋_GB2312"/>
          <w:b/>
          <w:sz w:val="22"/>
          <w:szCs w:val="22"/>
        </w:rPr>
        <w:t>表3-13</w:t>
      </w:r>
      <w:r>
        <w:rPr>
          <w:rFonts w:ascii="仿宋_GB2312" w:eastAsia="仿宋_GB2312"/>
          <w:b/>
          <w:sz w:val="22"/>
          <w:szCs w:val="22"/>
        </w:rPr>
        <w:t xml:space="preserve"> 施工场地区</w:t>
      </w:r>
      <w:r>
        <w:rPr>
          <w:rFonts w:hint="eastAsia" w:ascii="仿宋_GB2312" w:eastAsia="仿宋_GB2312"/>
          <w:b/>
          <w:sz w:val="22"/>
          <w:szCs w:val="22"/>
        </w:rPr>
        <w:t>水土保持临时措施工程量统计表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rPr>
                <w:lang w:eastAsia="en-US"/>
              </w:rPr>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vAlign w:val="center"/>
          </w:tcPr>
          <w:p>
            <w:pPr>
              <w:pStyle w:val="53"/>
            </w:pPr>
            <w:r>
              <w:rPr>
                <w:rFonts w:hint="eastAsia"/>
              </w:rPr>
              <w:t>施工场地区</w:t>
            </w:r>
          </w:p>
        </w:tc>
        <w:tc>
          <w:tcPr>
            <w:tcW w:w="1561" w:type="dxa"/>
            <w:vAlign w:val="center"/>
          </w:tcPr>
          <w:p>
            <w:pPr>
              <w:pStyle w:val="57"/>
              <w:spacing w:before="1"/>
              <w:ind w:firstLine="0" w:firstLineChars="0"/>
              <w:jc w:val="center"/>
              <w:rPr>
                <w:sz w:val="21"/>
                <w:szCs w:val="22"/>
              </w:rPr>
            </w:pPr>
            <w:r>
              <w:rPr>
                <w:sz w:val="21"/>
              </w:rPr>
              <w:t>临时排水沟</w:t>
            </w:r>
          </w:p>
        </w:tc>
        <w:tc>
          <w:tcPr>
            <w:tcW w:w="709" w:type="dxa"/>
            <w:vAlign w:val="center"/>
          </w:tcPr>
          <w:p>
            <w:pPr>
              <w:pStyle w:val="53"/>
              <w:rPr>
                <w:lang w:eastAsia="en-US"/>
              </w:rPr>
            </w:pPr>
            <w:r>
              <w:t>m</w:t>
            </w:r>
          </w:p>
        </w:tc>
        <w:tc>
          <w:tcPr>
            <w:tcW w:w="1134" w:type="dxa"/>
            <w:vAlign w:val="center"/>
          </w:tcPr>
          <w:p>
            <w:pPr>
              <w:pStyle w:val="53"/>
            </w:pPr>
            <w:r>
              <w:rPr>
                <w:rFonts w:hint="eastAsia"/>
              </w:rPr>
              <w:t>400</w:t>
            </w:r>
          </w:p>
        </w:tc>
        <w:tc>
          <w:tcPr>
            <w:tcW w:w="1134" w:type="dxa"/>
            <w:vAlign w:val="center"/>
          </w:tcPr>
          <w:p>
            <w:pPr>
              <w:pStyle w:val="53"/>
              <w:rPr>
                <w:szCs w:val="22"/>
              </w:rPr>
            </w:pPr>
            <w:r>
              <w:rPr>
                <w:rFonts w:hint="eastAsia"/>
              </w:rPr>
              <w:t>400</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7"/>
              <w:ind w:firstLine="0" w:firstLineChars="0"/>
              <w:jc w:val="center"/>
              <w:rPr>
                <w:sz w:val="21"/>
                <w:szCs w:val="22"/>
              </w:rPr>
            </w:pPr>
            <w:r>
              <w:rPr>
                <w:sz w:val="21"/>
              </w:rPr>
              <w:t>沉沙池</w:t>
            </w:r>
          </w:p>
        </w:tc>
        <w:tc>
          <w:tcPr>
            <w:tcW w:w="709" w:type="dxa"/>
            <w:vAlign w:val="center"/>
          </w:tcPr>
          <w:p>
            <w:pPr>
              <w:pStyle w:val="53"/>
            </w:pPr>
            <w:r>
              <w:t>个</w:t>
            </w:r>
          </w:p>
        </w:tc>
        <w:tc>
          <w:tcPr>
            <w:tcW w:w="1134" w:type="dxa"/>
            <w:vAlign w:val="center"/>
          </w:tcPr>
          <w:p>
            <w:pPr>
              <w:pStyle w:val="53"/>
            </w:pPr>
            <w:r>
              <w:rPr>
                <w:rFonts w:hint="eastAsia"/>
              </w:rPr>
              <w:t>2</w:t>
            </w:r>
          </w:p>
        </w:tc>
        <w:tc>
          <w:tcPr>
            <w:tcW w:w="1134" w:type="dxa"/>
            <w:vAlign w:val="center"/>
          </w:tcPr>
          <w:p>
            <w:pPr>
              <w:pStyle w:val="53"/>
              <w:rPr>
                <w:szCs w:val="22"/>
              </w:rPr>
            </w:pPr>
            <w:r>
              <w:rPr>
                <w:rFonts w:hint="eastAsia"/>
              </w:rPr>
              <w:t>2</w:t>
            </w:r>
          </w:p>
        </w:tc>
        <w:tc>
          <w:tcPr>
            <w:tcW w:w="1113" w:type="dxa"/>
            <w:vAlign w:val="center"/>
          </w:tcPr>
          <w:p>
            <w:pPr>
              <w:pStyle w:val="53"/>
            </w:pPr>
            <w:r>
              <w:rPr>
                <w:rFonts w:hint="eastAsia"/>
              </w:rPr>
              <w:t>100%</w:t>
            </w:r>
          </w:p>
        </w:tc>
      </w:tr>
    </w:tbl>
    <w:p>
      <w:pPr>
        <w:pStyle w:val="2"/>
        <w:ind w:firstLine="480"/>
      </w:pPr>
    </w:p>
    <w:p>
      <w:pPr>
        <w:pStyle w:val="2"/>
        <w:ind w:firstLine="480"/>
      </w:pPr>
      <w:r>
        <w:rPr>
          <w:rFonts w:hint="eastAsia"/>
        </w:rPr>
        <w:t>5.</w:t>
      </w:r>
      <w:r>
        <w:t>临时堆土场防治区</w:t>
      </w:r>
    </w:p>
    <w:p>
      <w:pPr>
        <w:pStyle w:val="2"/>
        <w:ind w:firstLine="480"/>
      </w:pPr>
      <w:r>
        <w:t>临时措施：土袋临时挡土墙长810m</w:t>
      </w:r>
      <w:r>
        <w:rPr>
          <w:rFonts w:hint="eastAsia"/>
        </w:rPr>
        <w:t>，</w:t>
      </w:r>
      <w:r>
        <w:rPr>
          <w:kern w:val="0"/>
        </w:rPr>
        <w:t>810</w:t>
      </w:r>
      <w:r>
        <w:rPr>
          <w:snapToGrid w:val="0"/>
        </w:rPr>
        <w:t>m临时排水沟</w:t>
      </w:r>
      <w:r>
        <w:t>（其中东区470m，西区340m），临时砖砌沉沙池2个（其中东区1个，西区1个），</w:t>
      </w:r>
      <w:r>
        <w:rPr>
          <w:snapToGrid w:val="0"/>
        </w:rPr>
        <w:t>覆盖密目网16600m</w:t>
      </w:r>
      <w:r>
        <w:rPr>
          <w:snapToGrid w:val="0"/>
          <w:vertAlign w:val="superscript"/>
        </w:rPr>
        <w:t>2</w:t>
      </w:r>
      <w:r>
        <w:rPr>
          <w:snapToGrid w:val="0"/>
        </w:rPr>
        <w:t>（东区11000m</w:t>
      </w:r>
      <w:r>
        <w:rPr>
          <w:snapToGrid w:val="0"/>
          <w:vertAlign w:val="superscript"/>
        </w:rPr>
        <w:t>2</w:t>
      </w:r>
      <w:r>
        <w:rPr>
          <w:snapToGrid w:val="0"/>
        </w:rPr>
        <w:t>，西区5600m</w:t>
      </w:r>
      <w:r>
        <w:rPr>
          <w:snapToGrid w:val="0"/>
          <w:vertAlign w:val="superscript"/>
        </w:rPr>
        <w:t>2</w:t>
      </w:r>
      <w:r>
        <w:rPr>
          <w:snapToGrid w:val="0"/>
        </w:rPr>
        <w:t>）。</w:t>
      </w:r>
      <w:r>
        <w:rPr>
          <w:rFonts w:hint="eastAsia"/>
        </w:rPr>
        <w:t>，</w:t>
      </w:r>
      <w:r>
        <w:t>。</w:t>
      </w:r>
    </w:p>
    <w:p>
      <w:pPr>
        <w:pStyle w:val="2"/>
        <w:snapToGrid w:val="0"/>
        <w:ind w:left="0" w:firstLine="442"/>
        <w:jc w:val="center"/>
        <w:rPr>
          <w:rFonts w:ascii="仿宋_GB2312" w:eastAsia="仿宋_GB2312"/>
          <w:b/>
          <w:sz w:val="22"/>
          <w:szCs w:val="22"/>
        </w:rPr>
      </w:pPr>
      <w:r>
        <w:rPr>
          <w:rFonts w:hint="eastAsia" w:ascii="仿宋_GB2312" w:eastAsia="仿宋_GB2312"/>
          <w:b/>
          <w:sz w:val="22"/>
          <w:szCs w:val="22"/>
        </w:rPr>
        <w:t>表</w:t>
      </w:r>
      <w:r>
        <w:rPr>
          <w:rFonts w:hint="eastAsia" w:eastAsia="仿宋_GB2312"/>
          <w:b/>
          <w:sz w:val="22"/>
          <w:szCs w:val="22"/>
        </w:rPr>
        <w:t>3-14</w:t>
      </w:r>
      <w:r>
        <w:rPr>
          <w:rFonts w:ascii="仿宋_GB2312" w:eastAsia="仿宋_GB2312"/>
          <w:b/>
          <w:sz w:val="22"/>
          <w:szCs w:val="22"/>
        </w:rPr>
        <w:t xml:space="preserve"> 临时堆土场防治区</w:t>
      </w:r>
      <w:r>
        <w:rPr>
          <w:rFonts w:hint="eastAsia" w:ascii="仿宋_GB2312" w:eastAsia="仿宋_GB2312"/>
          <w:b/>
          <w:sz w:val="22"/>
          <w:szCs w:val="22"/>
        </w:rPr>
        <w:t>水土保持临时措施工程量统计表</w:t>
      </w:r>
    </w:p>
    <w:tbl>
      <w:tblPr>
        <w:tblStyle w:val="23"/>
        <w:tblW w:w="77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2124"/>
        <w:gridCol w:w="1561"/>
        <w:gridCol w:w="709"/>
        <w:gridCol w:w="1134"/>
        <w:gridCol w:w="1134"/>
        <w:gridCol w:w="1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556" w:hRule="atLeast"/>
          <w:jc w:val="center"/>
        </w:trPr>
        <w:tc>
          <w:tcPr>
            <w:tcW w:w="2124" w:type="dxa"/>
            <w:vAlign w:val="center"/>
          </w:tcPr>
          <w:p>
            <w:pPr>
              <w:pStyle w:val="53"/>
            </w:pPr>
            <w:r>
              <w:t>防治</w:t>
            </w:r>
            <w:r>
              <w:rPr>
                <w:rFonts w:hint="eastAsia"/>
              </w:rPr>
              <w:t>分区</w:t>
            </w:r>
          </w:p>
        </w:tc>
        <w:tc>
          <w:tcPr>
            <w:tcW w:w="1561" w:type="dxa"/>
            <w:vAlign w:val="center"/>
          </w:tcPr>
          <w:p>
            <w:pPr>
              <w:pStyle w:val="53"/>
            </w:pPr>
            <w:r>
              <w:rPr>
                <w:rFonts w:hint="eastAsia"/>
              </w:rPr>
              <w:t>水土保持措施</w:t>
            </w:r>
          </w:p>
        </w:tc>
        <w:tc>
          <w:tcPr>
            <w:tcW w:w="709" w:type="dxa"/>
            <w:vAlign w:val="center"/>
          </w:tcPr>
          <w:p>
            <w:pPr>
              <w:pStyle w:val="53"/>
            </w:pPr>
            <w:r>
              <w:t>单位</w:t>
            </w:r>
          </w:p>
        </w:tc>
        <w:tc>
          <w:tcPr>
            <w:tcW w:w="1134" w:type="dxa"/>
            <w:vAlign w:val="center"/>
          </w:tcPr>
          <w:p>
            <w:pPr>
              <w:pStyle w:val="53"/>
              <w:rPr>
                <w:lang w:eastAsia="en-US"/>
              </w:rPr>
            </w:pPr>
            <w:r>
              <w:rPr>
                <w:rFonts w:hint="eastAsia"/>
              </w:rPr>
              <w:t>设计工程量</w:t>
            </w:r>
          </w:p>
        </w:tc>
        <w:tc>
          <w:tcPr>
            <w:tcW w:w="1134" w:type="dxa"/>
            <w:vAlign w:val="center"/>
          </w:tcPr>
          <w:p>
            <w:pPr>
              <w:pStyle w:val="53"/>
            </w:pPr>
            <w:r>
              <w:rPr>
                <w:rFonts w:hint="eastAsia"/>
              </w:rPr>
              <w:t>累计</w:t>
            </w:r>
            <w:r>
              <w:t>完成工程量</w:t>
            </w:r>
          </w:p>
        </w:tc>
        <w:tc>
          <w:tcPr>
            <w:tcW w:w="1113" w:type="dxa"/>
            <w:vAlign w:val="center"/>
          </w:tcPr>
          <w:p>
            <w:pPr>
              <w:pStyle w:val="53"/>
            </w:pPr>
            <w:r>
              <w:t>累计完成</w:t>
            </w:r>
            <w:r>
              <w:rPr>
                <w:rFonts w:hint="eastAsia"/>
              </w:rPr>
              <w:t>比例（%）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restart"/>
            <w:vAlign w:val="center"/>
          </w:tcPr>
          <w:p>
            <w:pPr>
              <w:pStyle w:val="53"/>
            </w:pPr>
            <w:r>
              <w:t>临时堆土场防治区</w:t>
            </w:r>
          </w:p>
        </w:tc>
        <w:tc>
          <w:tcPr>
            <w:tcW w:w="1561" w:type="dxa"/>
            <w:vAlign w:val="center"/>
          </w:tcPr>
          <w:p>
            <w:pPr>
              <w:pStyle w:val="53"/>
            </w:pPr>
            <w:r>
              <w:t>临时排水沟</w:t>
            </w:r>
          </w:p>
        </w:tc>
        <w:tc>
          <w:tcPr>
            <w:tcW w:w="709" w:type="dxa"/>
            <w:vAlign w:val="center"/>
          </w:tcPr>
          <w:p>
            <w:pPr>
              <w:pStyle w:val="53"/>
            </w:pPr>
            <w:r>
              <w:t>m</w:t>
            </w:r>
          </w:p>
        </w:tc>
        <w:tc>
          <w:tcPr>
            <w:tcW w:w="1134" w:type="dxa"/>
            <w:vAlign w:val="center"/>
          </w:tcPr>
          <w:p>
            <w:pPr>
              <w:pStyle w:val="53"/>
            </w:pPr>
            <w:r>
              <w:rPr>
                <w:rFonts w:hint="eastAsia"/>
              </w:rPr>
              <w:t>810</w:t>
            </w:r>
          </w:p>
        </w:tc>
        <w:tc>
          <w:tcPr>
            <w:tcW w:w="1134" w:type="dxa"/>
            <w:vAlign w:val="center"/>
          </w:tcPr>
          <w:p>
            <w:pPr>
              <w:pStyle w:val="53"/>
            </w:pPr>
            <w:r>
              <w:rPr>
                <w:rFonts w:hint="eastAsia"/>
              </w:rPr>
              <w:t>810</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3"/>
            </w:pPr>
            <w:r>
              <w:t>沉沙池</w:t>
            </w:r>
          </w:p>
        </w:tc>
        <w:tc>
          <w:tcPr>
            <w:tcW w:w="709" w:type="dxa"/>
            <w:vAlign w:val="center"/>
          </w:tcPr>
          <w:p>
            <w:pPr>
              <w:pStyle w:val="53"/>
            </w:pPr>
            <w:r>
              <w:t>个</w:t>
            </w:r>
          </w:p>
        </w:tc>
        <w:tc>
          <w:tcPr>
            <w:tcW w:w="1134" w:type="dxa"/>
            <w:vAlign w:val="center"/>
          </w:tcPr>
          <w:p>
            <w:pPr>
              <w:pStyle w:val="53"/>
            </w:pPr>
            <w:r>
              <w:rPr>
                <w:rFonts w:hint="eastAsia"/>
              </w:rPr>
              <w:t>2</w:t>
            </w:r>
          </w:p>
        </w:tc>
        <w:tc>
          <w:tcPr>
            <w:tcW w:w="1134" w:type="dxa"/>
            <w:vAlign w:val="center"/>
          </w:tcPr>
          <w:p>
            <w:pPr>
              <w:pStyle w:val="53"/>
            </w:pPr>
            <w:r>
              <w:rPr>
                <w:rFonts w:hint="eastAsia"/>
              </w:rPr>
              <w:t>2</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3"/>
            </w:pPr>
            <w:r>
              <w:rPr>
                <w:sz w:val="24"/>
              </w:rPr>
              <w:t>挡土墙</w:t>
            </w:r>
          </w:p>
        </w:tc>
        <w:tc>
          <w:tcPr>
            <w:tcW w:w="709" w:type="dxa"/>
            <w:vAlign w:val="center"/>
          </w:tcPr>
          <w:p>
            <w:pPr>
              <w:pStyle w:val="53"/>
              <w:rPr>
                <w:lang w:eastAsia="en-US"/>
              </w:rPr>
            </w:pPr>
            <w:r>
              <w:t>m³</w:t>
            </w:r>
          </w:p>
        </w:tc>
        <w:tc>
          <w:tcPr>
            <w:tcW w:w="1134" w:type="dxa"/>
            <w:vAlign w:val="center"/>
          </w:tcPr>
          <w:p>
            <w:pPr>
              <w:pStyle w:val="53"/>
            </w:pPr>
            <w:r>
              <w:rPr>
                <w:rFonts w:hint="eastAsia"/>
              </w:rPr>
              <w:t>810</w:t>
            </w:r>
          </w:p>
        </w:tc>
        <w:tc>
          <w:tcPr>
            <w:tcW w:w="1134" w:type="dxa"/>
            <w:vAlign w:val="center"/>
          </w:tcPr>
          <w:p>
            <w:pPr>
              <w:pStyle w:val="53"/>
            </w:pPr>
            <w:r>
              <w:rPr>
                <w:rFonts w:hint="eastAsia"/>
              </w:rPr>
              <w:t>810</w:t>
            </w:r>
          </w:p>
        </w:tc>
        <w:tc>
          <w:tcPr>
            <w:tcW w:w="1113" w:type="dxa"/>
            <w:vAlign w:val="center"/>
          </w:tcPr>
          <w:p>
            <w:pPr>
              <w:pStyle w:val="53"/>
            </w:pPr>
            <w:r>
              <w:rPr>
                <w:rFonts w:hint="eastAsia"/>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86" w:hRule="atLeast"/>
          <w:jc w:val="center"/>
        </w:trPr>
        <w:tc>
          <w:tcPr>
            <w:tcW w:w="2124" w:type="dxa"/>
            <w:vMerge w:val="continue"/>
            <w:vAlign w:val="center"/>
          </w:tcPr>
          <w:p>
            <w:pPr>
              <w:pStyle w:val="53"/>
            </w:pPr>
          </w:p>
        </w:tc>
        <w:tc>
          <w:tcPr>
            <w:tcW w:w="1561" w:type="dxa"/>
            <w:vAlign w:val="center"/>
          </w:tcPr>
          <w:p>
            <w:pPr>
              <w:pStyle w:val="53"/>
            </w:pPr>
            <w:r>
              <w:rPr>
                <w:rFonts w:hint="eastAsia"/>
              </w:rPr>
              <w:t>密目网</w:t>
            </w:r>
          </w:p>
        </w:tc>
        <w:tc>
          <w:tcPr>
            <w:tcW w:w="709" w:type="dxa"/>
            <w:vAlign w:val="center"/>
          </w:tcPr>
          <w:p>
            <w:pPr>
              <w:pStyle w:val="53"/>
            </w:pPr>
            <w:r>
              <w:t>m²</w:t>
            </w:r>
          </w:p>
        </w:tc>
        <w:tc>
          <w:tcPr>
            <w:tcW w:w="1134" w:type="dxa"/>
            <w:vAlign w:val="center"/>
          </w:tcPr>
          <w:p>
            <w:pPr>
              <w:pStyle w:val="53"/>
            </w:pPr>
            <w:r>
              <w:rPr>
                <w:rFonts w:hint="eastAsia"/>
              </w:rPr>
              <w:t>16600</w:t>
            </w:r>
          </w:p>
        </w:tc>
        <w:tc>
          <w:tcPr>
            <w:tcW w:w="1134" w:type="dxa"/>
            <w:vAlign w:val="center"/>
          </w:tcPr>
          <w:p>
            <w:pPr>
              <w:pStyle w:val="53"/>
            </w:pPr>
            <w:r>
              <w:rPr>
                <w:rFonts w:hint="eastAsia"/>
              </w:rPr>
              <w:t>16600</w:t>
            </w:r>
          </w:p>
        </w:tc>
        <w:tc>
          <w:tcPr>
            <w:tcW w:w="1113" w:type="dxa"/>
            <w:vAlign w:val="center"/>
          </w:tcPr>
          <w:p>
            <w:pPr>
              <w:pStyle w:val="53"/>
            </w:pPr>
            <w:r>
              <w:rPr>
                <w:rFonts w:hint="eastAsia"/>
              </w:rPr>
              <w:t>100%</w:t>
            </w:r>
          </w:p>
        </w:tc>
      </w:tr>
    </w:tbl>
    <w:p>
      <w:pPr>
        <w:pStyle w:val="2"/>
        <w:ind w:firstLine="480"/>
      </w:pPr>
    </w:p>
    <w:p>
      <w:pPr>
        <w:pStyle w:val="2"/>
        <w:ind w:firstLine="422"/>
        <w:jc w:val="center"/>
      </w:pPr>
      <w:r>
        <w:rPr>
          <w:rFonts w:hint="eastAsia" w:eastAsia="仿宋_GB2312"/>
          <w:b/>
          <w:sz w:val="21"/>
          <w:szCs w:val="22"/>
        </w:rPr>
        <w:t>3-15</w:t>
      </w:r>
      <w:r>
        <w:rPr>
          <w:rFonts w:eastAsia="仿宋_GB2312"/>
          <w:b/>
          <w:sz w:val="21"/>
          <w:szCs w:val="22"/>
        </w:rPr>
        <w:t xml:space="preserve"> 临</w:t>
      </w:r>
      <w:r>
        <w:rPr>
          <w:rFonts w:hint="eastAsia" w:ascii="仿宋_GB2312" w:eastAsia="仿宋_GB2312"/>
          <w:b/>
          <w:sz w:val="21"/>
          <w:szCs w:val="22"/>
        </w:rPr>
        <w:t>时措施照片</w:t>
      </w:r>
    </w:p>
    <w:tbl>
      <w:tblPr>
        <w:tblStyle w:val="23"/>
        <w:tblW w:w="7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8"/>
        <w:gridCol w:w="3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8" w:type="dxa"/>
            <w:tcBorders>
              <w:tl2br w:val="nil"/>
              <w:tr2bl w:val="nil"/>
            </w:tcBorders>
            <w:vAlign w:val="center"/>
          </w:tcPr>
          <w:p>
            <w:pPr>
              <w:pStyle w:val="53"/>
            </w:pPr>
            <w:r>
              <w:rPr>
                <w:rFonts w:hint="eastAsia"/>
              </w:rPr>
              <w:drawing>
                <wp:inline distT="0" distB="0" distL="85090" distR="85090">
                  <wp:extent cx="2292350" cy="1471930"/>
                  <wp:effectExtent l="0" t="0" r="46" b="13"/>
                  <wp:docPr id="61" name="图片" descr="沉砂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descr="沉砂池2"/>
                          <pic:cNvPicPr>
                            <a:picLocks noChangeAspect="1"/>
                          </pic:cNvPicPr>
                        </pic:nvPicPr>
                        <pic:blipFill>
                          <a:blip r:embed="rId30"/>
                          <a:stretch>
                            <a:fillRect/>
                          </a:stretch>
                        </pic:blipFill>
                        <pic:spPr>
                          <a:xfrm>
                            <a:off x="0" y="0"/>
                            <a:ext cx="2292583" cy="1472174"/>
                          </a:xfrm>
                          <a:prstGeom prst="rect">
                            <a:avLst/>
                          </a:prstGeom>
                          <a:noFill/>
                          <a:ln w="9525" cap="flat" cmpd="sng">
                            <a:noFill/>
                            <a:prstDash val="solid"/>
                            <a:miter/>
                          </a:ln>
                        </pic:spPr>
                      </pic:pic>
                    </a:graphicData>
                  </a:graphic>
                </wp:inline>
              </w:drawing>
            </w:r>
          </w:p>
        </w:tc>
        <w:tc>
          <w:tcPr>
            <w:tcW w:w="3762" w:type="dxa"/>
            <w:tcBorders>
              <w:tl2br w:val="nil"/>
              <w:tr2bl w:val="nil"/>
            </w:tcBorders>
            <w:vAlign w:val="center"/>
          </w:tcPr>
          <w:p>
            <w:pPr>
              <w:pStyle w:val="53"/>
            </w:pPr>
            <w:r>
              <w:rPr>
                <w:rFonts w:hint="eastAsia"/>
              </w:rPr>
              <w:drawing>
                <wp:inline distT="0" distB="0" distL="85090" distR="85090">
                  <wp:extent cx="2154555" cy="1461770"/>
                  <wp:effectExtent l="0" t="0" r="6" b="9"/>
                  <wp:docPr id="64" name="图片" descr="临时堆土苫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descr="临时堆土苫盖2"/>
                          <pic:cNvPicPr>
                            <a:picLocks noChangeAspect="1"/>
                          </pic:cNvPicPr>
                        </pic:nvPicPr>
                        <pic:blipFill>
                          <a:blip r:embed="rId31"/>
                          <a:stretch>
                            <a:fillRect/>
                          </a:stretch>
                        </pic:blipFill>
                        <pic:spPr>
                          <a:xfrm>
                            <a:off x="0" y="0"/>
                            <a:ext cx="2154802" cy="1461770"/>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008" w:type="dxa"/>
            <w:tcBorders>
              <w:tl2br w:val="nil"/>
              <w:tr2bl w:val="nil"/>
            </w:tcBorders>
            <w:vAlign w:val="center"/>
          </w:tcPr>
          <w:p>
            <w:pPr>
              <w:pStyle w:val="53"/>
            </w:pPr>
            <w:r>
              <w:rPr>
                <w:rFonts w:hint="eastAsia"/>
              </w:rPr>
              <w:t>沉砂池</w:t>
            </w:r>
          </w:p>
        </w:tc>
        <w:tc>
          <w:tcPr>
            <w:tcW w:w="3762" w:type="dxa"/>
            <w:tcBorders>
              <w:tl2br w:val="nil"/>
              <w:tr2bl w:val="nil"/>
            </w:tcBorders>
            <w:vAlign w:val="center"/>
          </w:tcPr>
          <w:p>
            <w:pPr>
              <w:pStyle w:val="53"/>
            </w:pPr>
            <w:r>
              <w:rPr>
                <w:rFonts w:hint="eastAsia"/>
              </w:rPr>
              <w:t>临时堆土苫盖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8" w:type="dxa"/>
            <w:tcBorders>
              <w:tl2br w:val="nil"/>
              <w:tr2bl w:val="nil"/>
            </w:tcBorders>
          </w:tcPr>
          <w:p>
            <w:pPr>
              <w:pStyle w:val="53"/>
            </w:pPr>
            <w:r>
              <w:rPr>
                <w:rFonts w:hint="eastAsia"/>
              </w:rPr>
              <w:drawing>
                <wp:inline distT="0" distB="0" distL="85090" distR="85090">
                  <wp:extent cx="2286000" cy="1629410"/>
                  <wp:effectExtent l="0" t="0" r="16" b="44"/>
                  <wp:docPr id="67" name="图片" descr="沉砂池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descr="沉砂池8"/>
                          <pic:cNvPicPr>
                            <a:picLocks noChangeAspect="1"/>
                          </pic:cNvPicPr>
                        </pic:nvPicPr>
                        <pic:blipFill>
                          <a:blip r:embed="rId32"/>
                          <a:stretch>
                            <a:fillRect/>
                          </a:stretch>
                        </pic:blipFill>
                        <pic:spPr>
                          <a:xfrm>
                            <a:off x="0" y="0"/>
                            <a:ext cx="2286457" cy="1629460"/>
                          </a:xfrm>
                          <a:prstGeom prst="rect">
                            <a:avLst/>
                          </a:prstGeom>
                          <a:noFill/>
                          <a:ln w="9525" cap="flat" cmpd="sng">
                            <a:noFill/>
                            <a:prstDash val="solid"/>
                            <a:miter/>
                          </a:ln>
                        </pic:spPr>
                      </pic:pic>
                    </a:graphicData>
                  </a:graphic>
                </wp:inline>
              </w:drawing>
            </w:r>
          </w:p>
        </w:tc>
        <w:tc>
          <w:tcPr>
            <w:tcW w:w="3762" w:type="dxa"/>
            <w:tcBorders>
              <w:tl2br w:val="nil"/>
              <w:tr2bl w:val="nil"/>
            </w:tcBorders>
          </w:tcPr>
          <w:p>
            <w:pPr>
              <w:pStyle w:val="53"/>
            </w:pPr>
            <w:r>
              <w:drawing>
                <wp:inline distT="0" distB="0" distL="0" distR="0">
                  <wp:extent cx="2296160" cy="1525270"/>
                  <wp:effectExtent l="0" t="0" r="8890" b="0"/>
                  <wp:docPr id="5" name="图片 5" descr="项目部排水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项目部排水沟"/>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296160" cy="1525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8" w:type="dxa"/>
            <w:tcBorders>
              <w:tl2br w:val="nil"/>
              <w:tr2bl w:val="nil"/>
            </w:tcBorders>
          </w:tcPr>
          <w:p>
            <w:pPr>
              <w:pStyle w:val="53"/>
            </w:pPr>
            <w:r>
              <w:rPr>
                <w:rFonts w:hint="eastAsia"/>
              </w:rPr>
              <w:t>沉砂池</w:t>
            </w:r>
          </w:p>
        </w:tc>
        <w:tc>
          <w:tcPr>
            <w:tcW w:w="3762" w:type="dxa"/>
            <w:tcBorders>
              <w:tl2br w:val="nil"/>
              <w:tr2bl w:val="nil"/>
            </w:tcBorders>
          </w:tcPr>
          <w:p>
            <w:pPr>
              <w:pStyle w:val="53"/>
            </w:pPr>
            <w:r>
              <w:rPr>
                <w:rFonts w:hint="eastAsia"/>
              </w:rPr>
              <w:t>排水沟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8" w:type="dxa"/>
            <w:tcBorders>
              <w:tl2br w:val="nil"/>
              <w:tr2bl w:val="nil"/>
            </w:tcBorders>
            <w:vAlign w:val="center"/>
          </w:tcPr>
          <w:p>
            <w:pPr>
              <w:pStyle w:val="53"/>
            </w:pPr>
            <w:r>
              <w:rPr>
                <w:rFonts w:hint="eastAsia"/>
              </w:rPr>
              <w:drawing>
                <wp:inline distT="0" distB="0" distL="85090" distR="85090">
                  <wp:extent cx="2311400" cy="1607820"/>
                  <wp:effectExtent l="0" t="0" r="11" b="20"/>
                  <wp:docPr id="79" name="图片" descr="项目部排水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descr="项目部排水沟2"/>
                          <pic:cNvPicPr>
                            <a:picLocks noChangeAspect="1"/>
                          </pic:cNvPicPr>
                        </pic:nvPicPr>
                        <pic:blipFill>
                          <a:blip r:embed="rId34"/>
                          <a:stretch>
                            <a:fillRect/>
                          </a:stretch>
                        </pic:blipFill>
                        <pic:spPr>
                          <a:xfrm>
                            <a:off x="0" y="0"/>
                            <a:ext cx="2311693" cy="1608061"/>
                          </a:xfrm>
                          <a:prstGeom prst="rect">
                            <a:avLst/>
                          </a:prstGeom>
                          <a:noFill/>
                          <a:ln w="9525" cap="flat" cmpd="sng">
                            <a:noFill/>
                            <a:prstDash val="solid"/>
                            <a:miter/>
                          </a:ln>
                        </pic:spPr>
                      </pic:pic>
                    </a:graphicData>
                  </a:graphic>
                </wp:inline>
              </w:drawing>
            </w:r>
          </w:p>
        </w:tc>
        <w:tc>
          <w:tcPr>
            <w:tcW w:w="3762" w:type="dxa"/>
            <w:tcBorders>
              <w:tl2br w:val="nil"/>
              <w:tr2bl w:val="nil"/>
            </w:tcBorders>
          </w:tcPr>
          <w:p>
            <w:pPr>
              <w:pStyle w:val="53"/>
            </w:pPr>
            <w:r>
              <w:rPr>
                <w:rFonts w:hint="eastAsia"/>
              </w:rPr>
              <w:drawing>
                <wp:inline distT="0" distB="0" distL="85090" distR="85090">
                  <wp:extent cx="2179955" cy="1720215"/>
                  <wp:effectExtent l="0" t="0" r="47" b="6"/>
                  <wp:docPr id="82" name="图片" descr="沉砂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descr="沉砂池"/>
                          <pic:cNvPicPr>
                            <a:picLocks noChangeAspect="1"/>
                          </pic:cNvPicPr>
                        </pic:nvPicPr>
                        <pic:blipFill>
                          <a:blip r:embed="rId35"/>
                          <a:stretch>
                            <a:fillRect/>
                          </a:stretch>
                        </pic:blipFill>
                        <pic:spPr>
                          <a:xfrm>
                            <a:off x="0" y="0"/>
                            <a:ext cx="2180000" cy="1720849"/>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8" w:type="dxa"/>
            <w:tcBorders>
              <w:tl2br w:val="nil"/>
              <w:tr2bl w:val="nil"/>
            </w:tcBorders>
            <w:vAlign w:val="center"/>
          </w:tcPr>
          <w:p>
            <w:pPr>
              <w:pStyle w:val="53"/>
            </w:pPr>
            <w:r>
              <w:rPr>
                <w:rFonts w:hint="eastAsia"/>
              </w:rPr>
              <w:tab/>
            </w:r>
            <w:r>
              <w:rPr>
                <w:rFonts w:hint="eastAsia"/>
              </w:rPr>
              <w:t>排水沟</w:t>
            </w:r>
          </w:p>
        </w:tc>
        <w:tc>
          <w:tcPr>
            <w:tcW w:w="3762" w:type="dxa"/>
            <w:tcBorders>
              <w:tl2br w:val="nil"/>
              <w:tr2bl w:val="nil"/>
            </w:tcBorders>
          </w:tcPr>
          <w:p>
            <w:pPr>
              <w:pStyle w:val="53"/>
            </w:pPr>
            <w:r>
              <w:rPr>
                <w:rFonts w:hint="eastAsia"/>
              </w:rPr>
              <w:t>排水沟及沉砂池</w:t>
            </w:r>
          </w:p>
        </w:tc>
      </w:tr>
    </w:tbl>
    <w:p>
      <w:pPr>
        <w:ind w:firstLine="480"/>
      </w:pPr>
      <w:bookmarkStart w:id="86" w:name="_Toc488500360"/>
      <w:bookmarkStart w:id="87" w:name="_Toc488500071"/>
      <w:bookmarkStart w:id="88" w:name="_Toc488499943"/>
      <w:bookmarkStart w:id="89" w:name="_Toc488301792"/>
      <w:bookmarkStart w:id="90" w:name="_Toc510804548"/>
      <w:bookmarkStart w:id="91" w:name="_Toc503252486"/>
      <w:bookmarkStart w:id="92" w:name="_Toc488237514"/>
    </w:p>
    <w:p>
      <w:pPr>
        <w:ind w:firstLine="480"/>
      </w:pPr>
      <w:r>
        <w:rPr>
          <w:rFonts w:hint="eastAsia"/>
        </w:rPr>
        <w:t>总体上各分区水土保持临时措施基本已按照水土保持方案设计进行实施。水土保持临时防治措施防治责任基本得到落实。临时防治措施已按照相应的设计标准进行了施工，符合有关标准要求，起到了良好的保护水土资源作用。</w:t>
      </w:r>
      <w:bookmarkEnd w:id="86"/>
      <w:bookmarkEnd w:id="87"/>
      <w:bookmarkEnd w:id="88"/>
      <w:bookmarkEnd w:id="89"/>
      <w:bookmarkEnd w:id="90"/>
      <w:bookmarkEnd w:id="91"/>
      <w:bookmarkEnd w:id="92"/>
    </w:p>
    <w:p>
      <w:pPr>
        <w:pStyle w:val="4"/>
        <w:ind w:firstLine="562"/>
      </w:pPr>
      <w:bookmarkStart w:id="93" w:name="_Toc8362"/>
      <w:r>
        <w:t>3.</w:t>
      </w:r>
      <w:r>
        <w:rPr>
          <w:rFonts w:hint="eastAsia"/>
        </w:rPr>
        <w:t>4</w:t>
      </w:r>
      <w:r>
        <w:t xml:space="preserve"> 水土保持投资完成情况</w:t>
      </w:r>
      <w:bookmarkEnd w:id="93"/>
    </w:p>
    <w:p>
      <w:pPr>
        <w:ind w:firstLine="460" w:firstLineChars="192"/>
        <w:rPr>
          <w:rFonts w:cs="仿宋"/>
        </w:rPr>
      </w:pPr>
      <w:r>
        <w:rPr>
          <w:rFonts w:hint="eastAsia" w:cs="仿宋"/>
        </w:rPr>
        <w:t>本项目水土保持工程总投资2173.93万元，其中：工程措施556.70万元（主体工程措施466.60万元，新增工程措施90.10万元）；植物措施1316.00万元（主体工程植物措施1316.00万元），临时工程121.38万元（主体工程临时措施20.30万元，新增临时措施101.08万元）；独立费用132.53万元（新增）；预备费19.42万元（新增）；水土保持监测费55.06万元（新增）；水土保持补偿费27.90万元（新增）。项目实际的水土保持投资与原水土保持方案批复的水土保持投资基本保持一致，无变动。</w:t>
      </w:r>
    </w:p>
    <w:p>
      <w:pPr>
        <w:pStyle w:val="2"/>
        <w:ind w:firstLine="422"/>
        <w:jc w:val="center"/>
        <w:rPr>
          <w:rFonts w:eastAsia="仿宋_GB2312"/>
          <w:b/>
          <w:sz w:val="21"/>
          <w:szCs w:val="22"/>
        </w:rPr>
      </w:pPr>
      <w:r>
        <w:rPr>
          <w:rFonts w:hint="eastAsia" w:ascii="仿宋_GB2312" w:eastAsia="仿宋_GB2312"/>
          <w:b/>
          <w:sz w:val="21"/>
          <w:szCs w:val="22"/>
        </w:rPr>
        <w:t>表</w:t>
      </w:r>
      <w:r>
        <w:rPr>
          <w:rFonts w:hint="eastAsia" w:eastAsia="仿宋_GB2312"/>
          <w:b/>
          <w:sz w:val="21"/>
          <w:szCs w:val="22"/>
        </w:rPr>
        <w:t>3-16</w:t>
      </w:r>
      <w:r>
        <w:rPr>
          <w:rFonts w:eastAsia="仿宋_GB2312"/>
          <w:b/>
          <w:sz w:val="21"/>
          <w:szCs w:val="22"/>
        </w:rPr>
        <w:t xml:space="preserve"> </w:t>
      </w:r>
      <w:r>
        <w:rPr>
          <w:rFonts w:hint="eastAsia" w:eastAsia="仿宋_GB2312"/>
          <w:b/>
          <w:sz w:val="21"/>
          <w:szCs w:val="22"/>
        </w:rPr>
        <w:t>实际完成的水土保持投资表  单位：万元</w:t>
      </w:r>
    </w:p>
    <w:tbl>
      <w:tblPr>
        <w:tblStyle w:val="23"/>
        <w:tblW w:w="500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2249"/>
        <w:gridCol w:w="1369"/>
        <w:gridCol w:w="859"/>
        <w:gridCol w:w="794"/>
        <w:gridCol w:w="844"/>
        <w:gridCol w:w="1269"/>
        <w:gridCol w:w="108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编号</w:t>
            </w:r>
          </w:p>
        </w:tc>
        <w:tc>
          <w:tcPr>
            <w:tcW w:w="1260" w:type="pct"/>
            <w:shd w:val="clear" w:color="auto" w:fill="auto"/>
            <w:vAlign w:val="bottom"/>
          </w:tcPr>
          <w:p>
            <w:pPr>
              <w:pStyle w:val="53"/>
            </w:pPr>
            <w:r>
              <w:t>工程或费用名称</w:t>
            </w:r>
          </w:p>
        </w:tc>
        <w:tc>
          <w:tcPr>
            <w:tcW w:w="768" w:type="pct"/>
            <w:shd w:val="clear" w:color="auto" w:fill="auto"/>
            <w:vAlign w:val="bottom"/>
          </w:tcPr>
          <w:p>
            <w:pPr>
              <w:pStyle w:val="53"/>
            </w:pPr>
            <w:r>
              <w:t>建安工程费</w:t>
            </w:r>
          </w:p>
        </w:tc>
        <w:tc>
          <w:tcPr>
            <w:tcW w:w="483" w:type="pct"/>
            <w:shd w:val="clear" w:color="auto" w:fill="auto"/>
            <w:vAlign w:val="bottom"/>
          </w:tcPr>
          <w:p>
            <w:pPr>
              <w:pStyle w:val="53"/>
            </w:pPr>
            <w:r>
              <w:t>植物措施费</w:t>
            </w:r>
          </w:p>
        </w:tc>
        <w:tc>
          <w:tcPr>
            <w:tcW w:w="427" w:type="pct"/>
            <w:shd w:val="clear" w:color="auto" w:fill="auto"/>
            <w:vAlign w:val="bottom"/>
          </w:tcPr>
          <w:p>
            <w:pPr>
              <w:pStyle w:val="53"/>
            </w:pPr>
            <w:r>
              <w:t>独立费用</w:t>
            </w:r>
          </w:p>
        </w:tc>
        <w:tc>
          <w:tcPr>
            <w:tcW w:w="475" w:type="pct"/>
            <w:shd w:val="clear" w:color="auto" w:fill="auto"/>
            <w:vAlign w:val="bottom"/>
          </w:tcPr>
          <w:p>
            <w:pPr>
              <w:pStyle w:val="53"/>
            </w:pPr>
            <w:r>
              <w:t>新增投资</w:t>
            </w:r>
          </w:p>
        </w:tc>
        <w:tc>
          <w:tcPr>
            <w:tcW w:w="712" w:type="pct"/>
            <w:shd w:val="clear" w:color="auto" w:fill="auto"/>
            <w:vAlign w:val="bottom"/>
          </w:tcPr>
          <w:p>
            <w:pPr>
              <w:pStyle w:val="53"/>
            </w:pPr>
            <w:r>
              <w:t>主体工程水保投资</w:t>
            </w:r>
          </w:p>
        </w:tc>
        <w:tc>
          <w:tcPr>
            <w:tcW w:w="609" w:type="pct"/>
            <w:shd w:val="clear" w:color="auto" w:fill="auto"/>
            <w:vAlign w:val="bottom"/>
          </w:tcPr>
          <w:p>
            <w:pPr>
              <w:pStyle w:val="53"/>
            </w:pPr>
            <w:r>
              <w:t>水保投资</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1</w:t>
            </w:r>
          </w:p>
        </w:tc>
        <w:tc>
          <w:tcPr>
            <w:tcW w:w="1260" w:type="pct"/>
            <w:shd w:val="clear" w:color="auto" w:fill="auto"/>
            <w:vAlign w:val="bottom"/>
          </w:tcPr>
          <w:p>
            <w:pPr>
              <w:pStyle w:val="53"/>
            </w:pPr>
            <w:r>
              <w:t>第一部分 工程措施</w:t>
            </w:r>
          </w:p>
        </w:tc>
        <w:tc>
          <w:tcPr>
            <w:tcW w:w="768" w:type="pct"/>
            <w:shd w:val="clear" w:color="auto" w:fill="auto"/>
            <w:vAlign w:val="bottom"/>
          </w:tcPr>
          <w:p>
            <w:pPr>
              <w:pStyle w:val="53"/>
            </w:pPr>
            <w:r>
              <w:t xml:space="preserve">90.10 </w:t>
            </w:r>
          </w:p>
        </w:tc>
        <w:tc>
          <w:tcPr>
            <w:tcW w:w="483" w:type="pct"/>
            <w:shd w:val="clear" w:color="auto" w:fill="auto"/>
            <w:vAlign w:val="bottom"/>
          </w:tcPr>
          <w:p>
            <w:pPr>
              <w:pStyle w:val="53"/>
            </w:pPr>
            <w:r>
              <w:t>　</w:t>
            </w:r>
          </w:p>
        </w:tc>
        <w:tc>
          <w:tcPr>
            <w:tcW w:w="427" w:type="pct"/>
            <w:shd w:val="clear" w:color="auto" w:fill="auto"/>
            <w:vAlign w:val="bottom"/>
          </w:tcPr>
          <w:p>
            <w:pPr>
              <w:pStyle w:val="53"/>
            </w:pPr>
            <w:r>
              <w:t>　</w:t>
            </w:r>
          </w:p>
        </w:tc>
        <w:tc>
          <w:tcPr>
            <w:tcW w:w="475" w:type="pct"/>
            <w:shd w:val="clear" w:color="auto" w:fill="auto"/>
            <w:vAlign w:val="bottom"/>
          </w:tcPr>
          <w:p>
            <w:pPr>
              <w:pStyle w:val="53"/>
            </w:pPr>
            <w:r>
              <w:t xml:space="preserve">90.10 </w:t>
            </w:r>
          </w:p>
        </w:tc>
        <w:tc>
          <w:tcPr>
            <w:tcW w:w="712" w:type="pct"/>
            <w:shd w:val="clear" w:color="auto" w:fill="auto"/>
            <w:vAlign w:val="bottom"/>
          </w:tcPr>
          <w:p>
            <w:pPr>
              <w:pStyle w:val="53"/>
            </w:pPr>
            <w:r>
              <w:t xml:space="preserve">466.60 </w:t>
            </w:r>
          </w:p>
        </w:tc>
        <w:tc>
          <w:tcPr>
            <w:tcW w:w="609" w:type="pct"/>
            <w:shd w:val="clear" w:color="auto" w:fill="auto"/>
            <w:vAlign w:val="bottom"/>
          </w:tcPr>
          <w:p>
            <w:pPr>
              <w:pStyle w:val="53"/>
            </w:pPr>
            <w:r>
              <w:t xml:space="preserve">556.70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2</w:t>
            </w:r>
          </w:p>
        </w:tc>
        <w:tc>
          <w:tcPr>
            <w:tcW w:w="1260" w:type="pct"/>
            <w:shd w:val="clear" w:color="auto" w:fill="auto"/>
            <w:vAlign w:val="bottom"/>
          </w:tcPr>
          <w:p>
            <w:pPr>
              <w:pStyle w:val="53"/>
            </w:pPr>
            <w:r>
              <w:t>第二部分 植物措施</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w:t>
            </w:r>
          </w:p>
        </w:tc>
        <w:tc>
          <w:tcPr>
            <w:tcW w:w="475" w:type="pct"/>
            <w:shd w:val="clear" w:color="auto" w:fill="auto"/>
            <w:vAlign w:val="bottom"/>
          </w:tcPr>
          <w:p>
            <w:pPr>
              <w:pStyle w:val="53"/>
            </w:pPr>
            <w:r>
              <w:t>　</w:t>
            </w:r>
          </w:p>
        </w:tc>
        <w:tc>
          <w:tcPr>
            <w:tcW w:w="712" w:type="pct"/>
            <w:shd w:val="clear" w:color="auto" w:fill="auto"/>
            <w:vAlign w:val="bottom"/>
          </w:tcPr>
          <w:p>
            <w:pPr>
              <w:pStyle w:val="53"/>
            </w:pPr>
            <w:r>
              <w:t xml:space="preserve">1316.00 </w:t>
            </w:r>
          </w:p>
        </w:tc>
        <w:tc>
          <w:tcPr>
            <w:tcW w:w="609" w:type="pct"/>
            <w:shd w:val="clear" w:color="auto" w:fill="auto"/>
            <w:vAlign w:val="bottom"/>
          </w:tcPr>
          <w:p>
            <w:pPr>
              <w:pStyle w:val="53"/>
            </w:pPr>
            <w:r>
              <w:t xml:space="preserve">1316.00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3</w:t>
            </w:r>
          </w:p>
        </w:tc>
        <w:tc>
          <w:tcPr>
            <w:tcW w:w="1260" w:type="pct"/>
            <w:shd w:val="clear" w:color="auto" w:fill="auto"/>
            <w:vAlign w:val="bottom"/>
          </w:tcPr>
          <w:p>
            <w:pPr>
              <w:pStyle w:val="53"/>
            </w:pPr>
            <w:r>
              <w:t>第三部分 临时措施</w:t>
            </w:r>
          </w:p>
        </w:tc>
        <w:tc>
          <w:tcPr>
            <w:tcW w:w="768" w:type="pct"/>
            <w:shd w:val="clear" w:color="auto" w:fill="auto"/>
            <w:vAlign w:val="bottom"/>
          </w:tcPr>
          <w:p>
            <w:pPr>
              <w:pStyle w:val="53"/>
            </w:pPr>
            <w:r>
              <w:t xml:space="preserve">101.08 </w:t>
            </w:r>
          </w:p>
        </w:tc>
        <w:tc>
          <w:tcPr>
            <w:tcW w:w="483" w:type="pct"/>
            <w:shd w:val="clear" w:color="auto" w:fill="auto"/>
            <w:vAlign w:val="bottom"/>
          </w:tcPr>
          <w:p>
            <w:pPr>
              <w:pStyle w:val="53"/>
            </w:pPr>
            <w:r>
              <w:t>　</w:t>
            </w:r>
          </w:p>
        </w:tc>
        <w:tc>
          <w:tcPr>
            <w:tcW w:w="427" w:type="pct"/>
            <w:shd w:val="clear" w:color="auto" w:fill="auto"/>
            <w:vAlign w:val="bottom"/>
          </w:tcPr>
          <w:p>
            <w:pPr>
              <w:pStyle w:val="53"/>
            </w:pPr>
            <w:r>
              <w:t>　</w:t>
            </w:r>
          </w:p>
        </w:tc>
        <w:tc>
          <w:tcPr>
            <w:tcW w:w="475" w:type="pct"/>
            <w:shd w:val="clear" w:color="auto" w:fill="auto"/>
            <w:vAlign w:val="bottom"/>
          </w:tcPr>
          <w:p>
            <w:pPr>
              <w:pStyle w:val="53"/>
            </w:pPr>
            <w:r>
              <w:t xml:space="preserve">101.08 </w:t>
            </w:r>
          </w:p>
        </w:tc>
        <w:tc>
          <w:tcPr>
            <w:tcW w:w="712" w:type="pct"/>
            <w:shd w:val="clear" w:color="auto" w:fill="auto"/>
            <w:vAlign w:val="bottom"/>
          </w:tcPr>
          <w:p>
            <w:pPr>
              <w:pStyle w:val="53"/>
            </w:pPr>
            <w:r>
              <w:t xml:space="preserve">20.30 </w:t>
            </w:r>
          </w:p>
        </w:tc>
        <w:tc>
          <w:tcPr>
            <w:tcW w:w="609" w:type="pct"/>
            <w:shd w:val="clear" w:color="auto" w:fill="auto"/>
            <w:vAlign w:val="bottom"/>
          </w:tcPr>
          <w:p>
            <w:pPr>
              <w:pStyle w:val="53"/>
            </w:pPr>
            <w:r>
              <w:t xml:space="preserve">121.38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4</w:t>
            </w:r>
          </w:p>
        </w:tc>
        <w:tc>
          <w:tcPr>
            <w:tcW w:w="1260" w:type="pct"/>
            <w:shd w:val="clear" w:color="auto" w:fill="auto"/>
            <w:vAlign w:val="bottom"/>
          </w:tcPr>
          <w:p>
            <w:pPr>
              <w:pStyle w:val="53"/>
            </w:pPr>
            <w:r>
              <w:t>第四部分 独立费用</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xml:space="preserve">132.53 </w:t>
            </w:r>
          </w:p>
        </w:tc>
        <w:tc>
          <w:tcPr>
            <w:tcW w:w="475" w:type="pct"/>
            <w:shd w:val="clear" w:color="auto" w:fill="auto"/>
            <w:vAlign w:val="bottom"/>
          </w:tcPr>
          <w:p>
            <w:pPr>
              <w:pStyle w:val="53"/>
            </w:pPr>
            <w:r>
              <w:t xml:space="preserve">132.53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132.53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4.1</w:t>
            </w:r>
          </w:p>
        </w:tc>
        <w:tc>
          <w:tcPr>
            <w:tcW w:w="1260" w:type="pct"/>
            <w:shd w:val="clear" w:color="auto" w:fill="auto"/>
            <w:vAlign w:val="bottom"/>
          </w:tcPr>
          <w:p>
            <w:pPr>
              <w:pStyle w:val="53"/>
            </w:pPr>
            <w:r>
              <w:t>建设管理费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xml:space="preserve">3.82 </w:t>
            </w:r>
          </w:p>
        </w:tc>
        <w:tc>
          <w:tcPr>
            <w:tcW w:w="475" w:type="pct"/>
            <w:shd w:val="clear" w:color="auto" w:fill="auto"/>
            <w:vAlign w:val="bottom"/>
          </w:tcPr>
          <w:p>
            <w:pPr>
              <w:pStyle w:val="53"/>
            </w:pPr>
            <w:r>
              <w:t xml:space="preserve">3.82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3.82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4.2</w:t>
            </w:r>
          </w:p>
        </w:tc>
        <w:tc>
          <w:tcPr>
            <w:tcW w:w="1260" w:type="pct"/>
            <w:shd w:val="clear" w:color="auto" w:fill="auto"/>
            <w:vAlign w:val="bottom"/>
          </w:tcPr>
          <w:p>
            <w:pPr>
              <w:pStyle w:val="53"/>
            </w:pPr>
            <w:r>
              <w:t>工程建设监理费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xml:space="preserve">32.00 </w:t>
            </w:r>
          </w:p>
        </w:tc>
        <w:tc>
          <w:tcPr>
            <w:tcW w:w="475" w:type="pct"/>
            <w:shd w:val="clear" w:color="auto" w:fill="auto"/>
            <w:vAlign w:val="bottom"/>
          </w:tcPr>
          <w:p>
            <w:pPr>
              <w:pStyle w:val="53"/>
            </w:pPr>
            <w:r>
              <w:t xml:space="preserve">32.00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32.00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4.3</w:t>
            </w:r>
          </w:p>
        </w:tc>
        <w:tc>
          <w:tcPr>
            <w:tcW w:w="1260" w:type="pct"/>
            <w:shd w:val="clear" w:color="auto" w:fill="auto"/>
            <w:vAlign w:val="bottom"/>
          </w:tcPr>
          <w:p>
            <w:pPr>
              <w:pStyle w:val="53"/>
            </w:pPr>
            <w:r>
              <w:t>科研勘测设计费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xml:space="preserve">32.65 </w:t>
            </w:r>
          </w:p>
        </w:tc>
        <w:tc>
          <w:tcPr>
            <w:tcW w:w="475" w:type="pct"/>
            <w:shd w:val="clear" w:color="auto" w:fill="auto"/>
            <w:vAlign w:val="bottom"/>
          </w:tcPr>
          <w:p>
            <w:pPr>
              <w:pStyle w:val="53"/>
            </w:pPr>
            <w:r>
              <w:t xml:space="preserve">32.65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32.65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4.4</w:t>
            </w:r>
          </w:p>
        </w:tc>
        <w:tc>
          <w:tcPr>
            <w:tcW w:w="1260" w:type="pct"/>
            <w:shd w:val="clear" w:color="auto" w:fill="auto"/>
            <w:vAlign w:val="bottom"/>
          </w:tcPr>
          <w:p>
            <w:pPr>
              <w:pStyle w:val="53"/>
            </w:pPr>
            <w:r>
              <w:t>水土保持监测费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xml:space="preserve">55.06 </w:t>
            </w:r>
          </w:p>
        </w:tc>
        <w:tc>
          <w:tcPr>
            <w:tcW w:w="475" w:type="pct"/>
            <w:shd w:val="clear" w:color="auto" w:fill="auto"/>
            <w:vAlign w:val="bottom"/>
          </w:tcPr>
          <w:p>
            <w:pPr>
              <w:pStyle w:val="53"/>
            </w:pPr>
            <w:r>
              <w:t xml:space="preserve">55.06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55.06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4.5</w:t>
            </w:r>
          </w:p>
        </w:tc>
        <w:tc>
          <w:tcPr>
            <w:tcW w:w="1260" w:type="pct"/>
            <w:shd w:val="clear" w:color="auto" w:fill="auto"/>
            <w:vAlign w:val="bottom"/>
          </w:tcPr>
          <w:p>
            <w:pPr>
              <w:pStyle w:val="53"/>
            </w:pPr>
            <w:r>
              <w:t>水土保持设施验收技术评估费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xml:space="preserve">9.00 </w:t>
            </w:r>
          </w:p>
        </w:tc>
        <w:tc>
          <w:tcPr>
            <w:tcW w:w="475" w:type="pct"/>
            <w:shd w:val="clear" w:color="auto" w:fill="auto"/>
            <w:vAlign w:val="bottom"/>
          </w:tcPr>
          <w:p>
            <w:pPr>
              <w:pStyle w:val="53"/>
            </w:pPr>
            <w:r>
              <w:t xml:space="preserve">9.00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9.00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5</w:t>
            </w:r>
          </w:p>
        </w:tc>
        <w:tc>
          <w:tcPr>
            <w:tcW w:w="1260" w:type="pct"/>
            <w:shd w:val="clear" w:color="auto" w:fill="auto"/>
            <w:vAlign w:val="bottom"/>
          </w:tcPr>
          <w:p>
            <w:pPr>
              <w:pStyle w:val="53"/>
            </w:pPr>
            <w:r>
              <w:t>一至四部分合计</w:t>
            </w:r>
          </w:p>
        </w:tc>
        <w:tc>
          <w:tcPr>
            <w:tcW w:w="768" w:type="pct"/>
            <w:shd w:val="clear" w:color="auto" w:fill="auto"/>
            <w:vAlign w:val="bottom"/>
          </w:tcPr>
          <w:p>
            <w:pPr>
              <w:pStyle w:val="53"/>
            </w:pPr>
            <w:r>
              <w:t xml:space="preserve">191.18 </w:t>
            </w:r>
          </w:p>
        </w:tc>
        <w:tc>
          <w:tcPr>
            <w:tcW w:w="483" w:type="pct"/>
            <w:shd w:val="clear" w:color="auto" w:fill="auto"/>
            <w:vAlign w:val="bottom"/>
          </w:tcPr>
          <w:p>
            <w:pPr>
              <w:pStyle w:val="53"/>
            </w:pPr>
            <w:r>
              <w:t xml:space="preserve">0.00 </w:t>
            </w:r>
          </w:p>
        </w:tc>
        <w:tc>
          <w:tcPr>
            <w:tcW w:w="427" w:type="pct"/>
            <w:shd w:val="clear" w:color="auto" w:fill="auto"/>
            <w:vAlign w:val="bottom"/>
          </w:tcPr>
          <w:p>
            <w:pPr>
              <w:pStyle w:val="53"/>
            </w:pPr>
            <w:r>
              <w:t xml:space="preserve">132.53 </w:t>
            </w:r>
          </w:p>
        </w:tc>
        <w:tc>
          <w:tcPr>
            <w:tcW w:w="475" w:type="pct"/>
            <w:shd w:val="clear" w:color="auto" w:fill="auto"/>
            <w:vAlign w:val="bottom"/>
          </w:tcPr>
          <w:p>
            <w:pPr>
              <w:pStyle w:val="53"/>
            </w:pPr>
            <w:r>
              <w:t xml:space="preserve">323.71 </w:t>
            </w:r>
          </w:p>
        </w:tc>
        <w:tc>
          <w:tcPr>
            <w:tcW w:w="712" w:type="pct"/>
            <w:shd w:val="clear" w:color="auto" w:fill="auto"/>
            <w:vAlign w:val="bottom"/>
          </w:tcPr>
          <w:p>
            <w:pPr>
              <w:pStyle w:val="53"/>
            </w:pPr>
            <w:r>
              <w:t xml:space="preserve">1802.90 </w:t>
            </w:r>
          </w:p>
        </w:tc>
        <w:tc>
          <w:tcPr>
            <w:tcW w:w="609" w:type="pct"/>
            <w:shd w:val="clear" w:color="auto" w:fill="auto"/>
            <w:vAlign w:val="bottom"/>
          </w:tcPr>
          <w:p>
            <w:pPr>
              <w:pStyle w:val="53"/>
            </w:pPr>
            <w:r>
              <w:t xml:space="preserve">2126.61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6</w:t>
            </w:r>
          </w:p>
        </w:tc>
        <w:tc>
          <w:tcPr>
            <w:tcW w:w="1260" w:type="pct"/>
            <w:shd w:val="clear" w:color="auto" w:fill="auto"/>
            <w:vAlign w:val="bottom"/>
          </w:tcPr>
          <w:p>
            <w:pPr>
              <w:pStyle w:val="53"/>
            </w:pPr>
            <w:r>
              <w:t>基本预备费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w:t>
            </w:r>
          </w:p>
        </w:tc>
        <w:tc>
          <w:tcPr>
            <w:tcW w:w="475" w:type="pct"/>
            <w:shd w:val="clear" w:color="auto" w:fill="auto"/>
            <w:vAlign w:val="bottom"/>
          </w:tcPr>
          <w:p>
            <w:pPr>
              <w:pStyle w:val="53"/>
            </w:pPr>
            <w:r>
              <w:t xml:space="preserve">19.42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19.42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7</w:t>
            </w:r>
          </w:p>
        </w:tc>
        <w:tc>
          <w:tcPr>
            <w:tcW w:w="1260" w:type="pct"/>
            <w:shd w:val="clear" w:color="auto" w:fill="auto"/>
            <w:vAlign w:val="bottom"/>
          </w:tcPr>
          <w:p>
            <w:pPr>
              <w:pStyle w:val="53"/>
            </w:pPr>
            <w:r>
              <w:t>水土保持设施补偿费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w:t>
            </w:r>
          </w:p>
        </w:tc>
        <w:tc>
          <w:tcPr>
            <w:tcW w:w="475" w:type="pct"/>
            <w:shd w:val="clear" w:color="auto" w:fill="auto"/>
            <w:vAlign w:val="bottom"/>
          </w:tcPr>
          <w:p>
            <w:pPr>
              <w:pStyle w:val="53"/>
            </w:pPr>
            <w:r>
              <w:t xml:space="preserve">27.90 </w:t>
            </w:r>
          </w:p>
        </w:tc>
        <w:tc>
          <w:tcPr>
            <w:tcW w:w="712" w:type="pct"/>
            <w:shd w:val="clear" w:color="auto" w:fill="auto"/>
            <w:vAlign w:val="bottom"/>
          </w:tcPr>
          <w:p>
            <w:pPr>
              <w:pStyle w:val="53"/>
            </w:pPr>
            <w:r>
              <w:t>　</w:t>
            </w:r>
          </w:p>
        </w:tc>
        <w:tc>
          <w:tcPr>
            <w:tcW w:w="609" w:type="pct"/>
            <w:shd w:val="clear" w:color="auto" w:fill="auto"/>
            <w:vAlign w:val="bottom"/>
          </w:tcPr>
          <w:p>
            <w:pPr>
              <w:pStyle w:val="53"/>
            </w:pPr>
            <w:r>
              <w:t xml:space="preserve">27.90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8</w:t>
            </w:r>
          </w:p>
        </w:tc>
        <w:tc>
          <w:tcPr>
            <w:tcW w:w="1260" w:type="pct"/>
            <w:shd w:val="clear" w:color="auto" w:fill="auto"/>
            <w:vAlign w:val="bottom"/>
          </w:tcPr>
          <w:p>
            <w:pPr>
              <w:pStyle w:val="53"/>
            </w:pPr>
            <w:r>
              <w:t>静态总投资</w:t>
            </w:r>
          </w:p>
        </w:tc>
        <w:tc>
          <w:tcPr>
            <w:tcW w:w="768" w:type="pct"/>
            <w:shd w:val="clear" w:color="auto" w:fill="auto"/>
            <w:vAlign w:val="bottom"/>
          </w:tcPr>
          <w:p>
            <w:pPr>
              <w:pStyle w:val="53"/>
            </w:pPr>
            <w:r>
              <w:t xml:space="preserve">191.18 </w:t>
            </w:r>
          </w:p>
        </w:tc>
        <w:tc>
          <w:tcPr>
            <w:tcW w:w="483" w:type="pct"/>
            <w:shd w:val="clear" w:color="auto" w:fill="auto"/>
            <w:vAlign w:val="bottom"/>
          </w:tcPr>
          <w:p>
            <w:pPr>
              <w:pStyle w:val="53"/>
            </w:pPr>
            <w:r>
              <w:t xml:space="preserve">0.00 </w:t>
            </w:r>
          </w:p>
        </w:tc>
        <w:tc>
          <w:tcPr>
            <w:tcW w:w="427" w:type="pct"/>
            <w:shd w:val="clear" w:color="auto" w:fill="auto"/>
            <w:vAlign w:val="bottom"/>
          </w:tcPr>
          <w:p>
            <w:pPr>
              <w:pStyle w:val="53"/>
            </w:pPr>
            <w:r>
              <w:t xml:space="preserve">132.53 </w:t>
            </w:r>
          </w:p>
        </w:tc>
        <w:tc>
          <w:tcPr>
            <w:tcW w:w="475" w:type="pct"/>
            <w:shd w:val="clear" w:color="auto" w:fill="auto"/>
            <w:vAlign w:val="bottom"/>
          </w:tcPr>
          <w:p>
            <w:pPr>
              <w:pStyle w:val="53"/>
            </w:pPr>
            <w:r>
              <w:t xml:space="preserve">371.03 </w:t>
            </w:r>
          </w:p>
        </w:tc>
        <w:tc>
          <w:tcPr>
            <w:tcW w:w="712" w:type="pct"/>
            <w:shd w:val="clear" w:color="auto" w:fill="auto"/>
            <w:vAlign w:val="bottom"/>
          </w:tcPr>
          <w:p>
            <w:pPr>
              <w:pStyle w:val="53"/>
            </w:pPr>
            <w:r>
              <w:t xml:space="preserve">1802.90 </w:t>
            </w:r>
          </w:p>
        </w:tc>
        <w:tc>
          <w:tcPr>
            <w:tcW w:w="609" w:type="pct"/>
            <w:shd w:val="clear" w:color="auto" w:fill="auto"/>
            <w:vAlign w:val="bottom"/>
          </w:tcPr>
          <w:p>
            <w:pPr>
              <w:pStyle w:val="53"/>
            </w:pPr>
            <w:r>
              <w:t xml:space="preserve">2173.93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9</w:t>
            </w:r>
          </w:p>
        </w:tc>
        <w:tc>
          <w:tcPr>
            <w:tcW w:w="1260" w:type="pct"/>
            <w:shd w:val="clear" w:color="auto" w:fill="auto"/>
            <w:vAlign w:val="bottom"/>
          </w:tcPr>
          <w:p>
            <w:pPr>
              <w:pStyle w:val="53"/>
            </w:pPr>
            <w:r>
              <w:t>价差预备费</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w:t>
            </w:r>
          </w:p>
        </w:tc>
        <w:tc>
          <w:tcPr>
            <w:tcW w:w="475" w:type="pct"/>
            <w:shd w:val="clear" w:color="auto" w:fill="auto"/>
            <w:vAlign w:val="bottom"/>
          </w:tcPr>
          <w:p>
            <w:pPr>
              <w:pStyle w:val="53"/>
            </w:pPr>
            <w:r>
              <w:t>　</w:t>
            </w:r>
          </w:p>
        </w:tc>
        <w:tc>
          <w:tcPr>
            <w:tcW w:w="712" w:type="pct"/>
            <w:shd w:val="clear" w:color="auto" w:fill="auto"/>
            <w:vAlign w:val="bottom"/>
          </w:tcPr>
          <w:p>
            <w:pPr>
              <w:pStyle w:val="53"/>
            </w:pPr>
            <w:r>
              <w:t>　</w:t>
            </w:r>
          </w:p>
        </w:tc>
        <w:tc>
          <w:tcPr>
            <w:tcW w:w="609" w:type="pct"/>
            <w:shd w:val="clear" w:color="auto" w:fill="auto"/>
            <w:vAlign w:val="bottom"/>
          </w:tcPr>
          <w:p>
            <w:pPr>
              <w:pStyle w:val="53"/>
            </w:pPr>
            <w:r>
              <w:t>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10</w:t>
            </w:r>
          </w:p>
        </w:tc>
        <w:tc>
          <w:tcPr>
            <w:tcW w:w="1260" w:type="pct"/>
            <w:shd w:val="clear" w:color="auto" w:fill="auto"/>
            <w:vAlign w:val="bottom"/>
          </w:tcPr>
          <w:p>
            <w:pPr>
              <w:pStyle w:val="53"/>
            </w:pPr>
            <w:r>
              <w:t>建设期融资利息</w:t>
            </w:r>
          </w:p>
        </w:tc>
        <w:tc>
          <w:tcPr>
            <w:tcW w:w="768" w:type="pct"/>
            <w:shd w:val="clear" w:color="auto" w:fill="auto"/>
            <w:vAlign w:val="bottom"/>
          </w:tcPr>
          <w:p>
            <w:pPr>
              <w:pStyle w:val="53"/>
            </w:pPr>
            <w:r>
              <w:t>　</w:t>
            </w:r>
          </w:p>
        </w:tc>
        <w:tc>
          <w:tcPr>
            <w:tcW w:w="483" w:type="pct"/>
            <w:shd w:val="clear" w:color="auto" w:fill="auto"/>
            <w:vAlign w:val="bottom"/>
          </w:tcPr>
          <w:p>
            <w:pPr>
              <w:pStyle w:val="53"/>
            </w:pPr>
            <w:r>
              <w:t>　</w:t>
            </w:r>
          </w:p>
        </w:tc>
        <w:tc>
          <w:tcPr>
            <w:tcW w:w="427" w:type="pct"/>
            <w:shd w:val="clear" w:color="auto" w:fill="auto"/>
            <w:vAlign w:val="bottom"/>
          </w:tcPr>
          <w:p>
            <w:pPr>
              <w:pStyle w:val="53"/>
            </w:pPr>
            <w:r>
              <w:t>　</w:t>
            </w:r>
          </w:p>
        </w:tc>
        <w:tc>
          <w:tcPr>
            <w:tcW w:w="475" w:type="pct"/>
            <w:shd w:val="clear" w:color="auto" w:fill="auto"/>
            <w:vAlign w:val="bottom"/>
          </w:tcPr>
          <w:p>
            <w:pPr>
              <w:pStyle w:val="53"/>
            </w:pPr>
            <w:r>
              <w:t>　</w:t>
            </w:r>
          </w:p>
        </w:tc>
        <w:tc>
          <w:tcPr>
            <w:tcW w:w="712" w:type="pct"/>
            <w:shd w:val="clear" w:color="auto" w:fill="auto"/>
            <w:vAlign w:val="bottom"/>
          </w:tcPr>
          <w:p>
            <w:pPr>
              <w:pStyle w:val="53"/>
            </w:pPr>
            <w:r>
              <w:t>　</w:t>
            </w:r>
          </w:p>
        </w:tc>
        <w:tc>
          <w:tcPr>
            <w:tcW w:w="609" w:type="pct"/>
            <w:shd w:val="clear" w:color="auto" w:fill="auto"/>
            <w:vAlign w:val="bottom"/>
          </w:tcPr>
          <w:p>
            <w:pPr>
              <w:pStyle w:val="53"/>
            </w:pPr>
            <w:r>
              <w:t>　</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 w:type="pct"/>
            <w:shd w:val="clear" w:color="auto" w:fill="auto"/>
            <w:vAlign w:val="bottom"/>
          </w:tcPr>
          <w:p>
            <w:pPr>
              <w:pStyle w:val="53"/>
            </w:pPr>
            <w:r>
              <w:t>11</w:t>
            </w:r>
          </w:p>
        </w:tc>
        <w:tc>
          <w:tcPr>
            <w:tcW w:w="1260" w:type="pct"/>
            <w:shd w:val="clear" w:color="auto" w:fill="auto"/>
            <w:vAlign w:val="bottom"/>
          </w:tcPr>
          <w:p>
            <w:pPr>
              <w:pStyle w:val="53"/>
            </w:pPr>
            <w:r>
              <w:t>工程总投资</w:t>
            </w:r>
          </w:p>
        </w:tc>
        <w:tc>
          <w:tcPr>
            <w:tcW w:w="768" w:type="pct"/>
            <w:shd w:val="clear" w:color="auto" w:fill="auto"/>
            <w:vAlign w:val="bottom"/>
          </w:tcPr>
          <w:p>
            <w:pPr>
              <w:pStyle w:val="53"/>
            </w:pPr>
            <w:r>
              <w:t xml:space="preserve">191.18 </w:t>
            </w:r>
          </w:p>
        </w:tc>
        <w:tc>
          <w:tcPr>
            <w:tcW w:w="483" w:type="pct"/>
            <w:shd w:val="clear" w:color="auto" w:fill="auto"/>
            <w:vAlign w:val="bottom"/>
          </w:tcPr>
          <w:p>
            <w:pPr>
              <w:pStyle w:val="53"/>
            </w:pPr>
            <w:r>
              <w:t xml:space="preserve">0.00 </w:t>
            </w:r>
          </w:p>
        </w:tc>
        <w:tc>
          <w:tcPr>
            <w:tcW w:w="427" w:type="pct"/>
            <w:shd w:val="clear" w:color="auto" w:fill="auto"/>
            <w:vAlign w:val="bottom"/>
          </w:tcPr>
          <w:p>
            <w:pPr>
              <w:pStyle w:val="53"/>
            </w:pPr>
            <w:r>
              <w:t xml:space="preserve">132.53 </w:t>
            </w:r>
          </w:p>
        </w:tc>
        <w:tc>
          <w:tcPr>
            <w:tcW w:w="475" w:type="pct"/>
            <w:shd w:val="clear" w:color="auto" w:fill="auto"/>
            <w:vAlign w:val="bottom"/>
          </w:tcPr>
          <w:p>
            <w:pPr>
              <w:pStyle w:val="53"/>
            </w:pPr>
            <w:r>
              <w:t xml:space="preserve">371.03 </w:t>
            </w:r>
          </w:p>
        </w:tc>
        <w:tc>
          <w:tcPr>
            <w:tcW w:w="712" w:type="pct"/>
            <w:shd w:val="clear" w:color="auto" w:fill="auto"/>
            <w:vAlign w:val="bottom"/>
          </w:tcPr>
          <w:p>
            <w:pPr>
              <w:pStyle w:val="53"/>
            </w:pPr>
            <w:r>
              <w:t xml:space="preserve">1802.90 </w:t>
            </w:r>
          </w:p>
        </w:tc>
        <w:tc>
          <w:tcPr>
            <w:tcW w:w="609" w:type="pct"/>
            <w:shd w:val="clear" w:color="auto" w:fill="auto"/>
            <w:vAlign w:val="bottom"/>
          </w:tcPr>
          <w:p>
            <w:pPr>
              <w:pStyle w:val="53"/>
            </w:pPr>
            <w:r>
              <w:t xml:space="preserve">2173.93 </w:t>
            </w:r>
          </w:p>
        </w:tc>
      </w:tr>
    </w:tbl>
    <w:p>
      <w:pPr>
        <w:pStyle w:val="2"/>
        <w:ind w:firstLine="422"/>
        <w:jc w:val="center"/>
        <w:rPr>
          <w:rFonts w:eastAsia="仿宋_GB2312"/>
          <w:b/>
          <w:sz w:val="21"/>
          <w:szCs w:val="22"/>
        </w:rPr>
      </w:pPr>
    </w:p>
    <w:p>
      <w:pPr>
        <w:pStyle w:val="2"/>
        <w:ind w:firstLine="422"/>
        <w:jc w:val="center"/>
        <w:rPr>
          <w:rFonts w:ascii="仿宋" w:cs="仿宋"/>
          <w:b/>
          <w:bCs/>
          <w:sz w:val="21"/>
          <w:szCs w:val="21"/>
        </w:rPr>
      </w:pPr>
      <w:r>
        <w:rPr>
          <w:rFonts w:hint="eastAsia" w:ascii="仿宋" w:cs="仿宋"/>
          <w:b/>
          <w:bCs/>
          <w:sz w:val="21"/>
          <w:szCs w:val="21"/>
        </w:rPr>
        <w:t>表3-21 实际完成的水土保持投资与方案投资对比表  单位：万元</w:t>
      </w:r>
    </w:p>
    <w:tbl>
      <w:tblPr>
        <w:tblStyle w:val="23"/>
        <w:tblW w:w="438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3067"/>
        <w:gridCol w:w="1601"/>
        <w:gridCol w:w="1449"/>
        <w:gridCol w:w="1259"/>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编号</w:t>
            </w:r>
          </w:p>
        </w:tc>
        <w:tc>
          <w:tcPr>
            <w:tcW w:w="1952" w:type="pct"/>
            <w:shd w:val="clear" w:color="auto" w:fill="auto"/>
            <w:vAlign w:val="bottom"/>
          </w:tcPr>
          <w:p>
            <w:pPr>
              <w:pStyle w:val="53"/>
            </w:pPr>
            <w:r>
              <w:t>工程或费用名称</w:t>
            </w:r>
          </w:p>
        </w:tc>
        <w:tc>
          <w:tcPr>
            <w:tcW w:w="1019" w:type="pct"/>
            <w:shd w:val="clear" w:color="auto" w:fill="auto"/>
            <w:vAlign w:val="bottom"/>
          </w:tcPr>
          <w:p>
            <w:pPr>
              <w:pStyle w:val="53"/>
            </w:pPr>
            <w:r>
              <w:rPr>
                <w:rFonts w:hint="eastAsia"/>
              </w:rPr>
              <w:t>实际完成</w:t>
            </w:r>
            <w:r>
              <w:t>投资</w:t>
            </w:r>
          </w:p>
        </w:tc>
        <w:tc>
          <w:tcPr>
            <w:tcW w:w="922" w:type="pct"/>
            <w:shd w:val="clear" w:color="auto" w:fill="auto"/>
            <w:vAlign w:val="center"/>
          </w:tcPr>
          <w:p>
            <w:pPr>
              <w:pStyle w:val="53"/>
            </w:pPr>
            <w:r>
              <w:rPr>
                <w:rFonts w:hint="eastAsia"/>
              </w:rPr>
              <w:t>批复方案投资</w:t>
            </w:r>
          </w:p>
        </w:tc>
        <w:tc>
          <w:tcPr>
            <w:tcW w:w="801" w:type="pct"/>
            <w:shd w:val="clear" w:color="auto" w:fill="auto"/>
            <w:vAlign w:val="center"/>
          </w:tcPr>
          <w:p>
            <w:pPr>
              <w:pStyle w:val="53"/>
            </w:pPr>
            <w:r>
              <w:rPr>
                <w:rFonts w:hint="eastAsia"/>
              </w:rPr>
              <w:t>与批复方案比较</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1</w:t>
            </w:r>
          </w:p>
        </w:tc>
        <w:tc>
          <w:tcPr>
            <w:tcW w:w="1952" w:type="pct"/>
            <w:shd w:val="clear" w:color="auto" w:fill="auto"/>
            <w:vAlign w:val="bottom"/>
          </w:tcPr>
          <w:p>
            <w:pPr>
              <w:pStyle w:val="53"/>
            </w:pPr>
            <w:r>
              <w:t>第一部分 工程措施</w:t>
            </w:r>
          </w:p>
        </w:tc>
        <w:tc>
          <w:tcPr>
            <w:tcW w:w="1019" w:type="pct"/>
            <w:shd w:val="clear" w:color="auto" w:fill="auto"/>
            <w:vAlign w:val="bottom"/>
          </w:tcPr>
          <w:p>
            <w:pPr>
              <w:pStyle w:val="53"/>
            </w:pPr>
            <w:r>
              <w:t xml:space="preserve">556.70 </w:t>
            </w:r>
          </w:p>
        </w:tc>
        <w:tc>
          <w:tcPr>
            <w:tcW w:w="922" w:type="pct"/>
            <w:shd w:val="clear" w:color="auto" w:fill="auto"/>
            <w:vAlign w:val="bottom"/>
          </w:tcPr>
          <w:p>
            <w:pPr>
              <w:pStyle w:val="53"/>
            </w:pPr>
            <w:r>
              <w:t xml:space="preserve">556.70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2</w:t>
            </w:r>
          </w:p>
        </w:tc>
        <w:tc>
          <w:tcPr>
            <w:tcW w:w="1952" w:type="pct"/>
            <w:shd w:val="clear" w:color="auto" w:fill="auto"/>
            <w:vAlign w:val="bottom"/>
          </w:tcPr>
          <w:p>
            <w:pPr>
              <w:pStyle w:val="53"/>
            </w:pPr>
            <w:r>
              <w:t>第二部分 植物措施</w:t>
            </w:r>
          </w:p>
        </w:tc>
        <w:tc>
          <w:tcPr>
            <w:tcW w:w="1019" w:type="pct"/>
            <w:shd w:val="clear" w:color="auto" w:fill="auto"/>
            <w:vAlign w:val="bottom"/>
          </w:tcPr>
          <w:p>
            <w:pPr>
              <w:pStyle w:val="53"/>
            </w:pPr>
            <w:r>
              <w:t xml:space="preserve">1316.00 </w:t>
            </w:r>
          </w:p>
        </w:tc>
        <w:tc>
          <w:tcPr>
            <w:tcW w:w="922" w:type="pct"/>
            <w:shd w:val="clear" w:color="auto" w:fill="auto"/>
            <w:vAlign w:val="bottom"/>
          </w:tcPr>
          <w:p>
            <w:pPr>
              <w:pStyle w:val="53"/>
            </w:pPr>
            <w:r>
              <w:t xml:space="preserve">1316.00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3</w:t>
            </w:r>
          </w:p>
        </w:tc>
        <w:tc>
          <w:tcPr>
            <w:tcW w:w="1952" w:type="pct"/>
            <w:shd w:val="clear" w:color="auto" w:fill="auto"/>
            <w:vAlign w:val="bottom"/>
          </w:tcPr>
          <w:p>
            <w:pPr>
              <w:pStyle w:val="53"/>
            </w:pPr>
            <w:r>
              <w:t>第三部分 临时措施</w:t>
            </w:r>
          </w:p>
        </w:tc>
        <w:tc>
          <w:tcPr>
            <w:tcW w:w="1019" w:type="pct"/>
            <w:shd w:val="clear" w:color="auto" w:fill="auto"/>
            <w:vAlign w:val="bottom"/>
          </w:tcPr>
          <w:p>
            <w:pPr>
              <w:pStyle w:val="53"/>
            </w:pPr>
            <w:r>
              <w:t xml:space="preserve">121.38 </w:t>
            </w:r>
          </w:p>
        </w:tc>
        <w:tc>
          <w:tcPr>
            <w:tcW w:w="922" w:type="pct"/>
            <w:shd w:val="clear" w:color="auto" w:fill="auto"/>
            <w:vAlign w:val="bottom"/>
          </w:tcPr>
          <w:p>
            <w:pPr>
              <w:pStyle w:val="53"/>
            </w:pPr>
            <w:r>
              <w:t xml:space="preserve">121.38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4</w:t>
            </w:r>
          </w:p>
        </w:tc>
        <w:tc>
          <w:tcPr>
            <w:tcW w:w="1952" w:type="pct"/>
            <w:shd w:val="clear" w:color="auto" w:fill="auto"/>
            <w:vAlign w:val="bottom"/>
          </w:tcPr>
          <w:p>
            <w:pPr>
              <w:pStyle w:val="53"/>
            </w:pPr>
            <w:r>
              <w:t>第四部分 独立费用</w:t>
            </w:r>
          </w:p>
        </w:tc>
        <w:tc>
          <w:tcPr>
            <w:tcW w:w="1019" w:type="pct"/>
            <w:shd w:val="clear" w:color="auto" w:fill="auto"/>
            <w:vAlign w:val="bottom"/>
          </w:tcPr>
          <w:p>
            <w:pPr>
              <w:pStyle w:val="53"/>
            </w:pPr>
            <w:r>
              <w:t xml:space="preserve">132.53 </w:t>
            </w:r>
          </w:p>
        </w:tc>
        <w:tc>
          <w:tcPr>
            <w:tcW w:w="922" w:type="pct"/>
            <w:shd w:val="clear" w:color="auto" w:fill="auto"/>
            <w:vAlign w:val="bottom"/>
          </w:tcPr>
          <w:p>
            <w:pPr>
              <w:pStyle w:val="53"/>
            </w:pPr>
            <w:r>
              <w:t xml:space="preserve">132.53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4.1</w:t>
            </w:r>
          </w:p>
        </w:tc>
        <w:tc>
          <w:tcPr>
            <w:tcW w:w="1952" w:type="pct"/>
            <w:shd w:val="clear" w:color="auto" w:fill="auto"/>
            <w:vAlign w:val="bottom"/>
          </w:tcPr>
          <w:p>
            <w:pPr>
              <w:pStyle w:val="53"/>
            </w:pPr>
            <w:r>
              <w:t>建设管理费</w:t>
            </w:r>
          </w:p>
        </w:tc>
        <w:tc>
          <w:tcPr>
            <w:tcW w:w="1019" w:type="pct"/>
            <w:shd w:val="clear" w:color="auto" w:fill="auto"/>
            <w:vAlign w:val="bottom"/>
          </w:tcPr>
          <w:p>
            <w:pPr>
              <w:pStyle w:val="53"/>
            </w:pPr>
            <w:r>
              <w:t xml:space="preserve">3.82 </w:t>
            </w:r>
          </w:p>
        </w:tc>
        <w:tc>
          <w:tcPr>
            <w:tcW w:w="922" w:type="pct"/>
            <w:shd w:val="clear" w:color="auto" w:fill="auto"/>
            <w:vAlign w:val="bottom"/>
          </w:tcPr>
          <w:p>
            <w:pPr>
              <w:pStyle w:val="53"/>
            </w:pPr>
            <w:r>
              <w:t xml:space="preserve">3.82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4.2</w:t>
            </w:r>
          </w:p>
        </w:tc>
        <w:tc>
          <w:tcPr>
            <w:tcW w:w="1952" w:type="pct"/>
            <w:shd w:val="clear" w:color="auto" w:fill="auto"/>
            <w:vAlign w:val="bottom"/>
          </w:tcPr>
          <w:p>
            <w:pPr>
              <w:pStyle w:val="53"/>
            </w:pPr>
            <w:r>
              <w:t>工程建设监理费</w:t>
            </w:r>
          </w:p>
        </w:tc>
        <w:tc>
          <w:tcPr>
            <w:tcW w:w="1019" w:type="pct"/>
            <w:shd w:val="clear" w:color="auto" w:fill="auto"/>
            <w:vAlign w:val="bottom"/>
          </w:tcPr>
          <w:p>
            <w:pPr>
              <w:pStyle w:val="53"/>
            </w:pPr>
            <w:r>
              <w:t xml:space="preserve">32.00 </w:t>
            </w:r>
          </w:p>
        </w:tc>
        <w:tc>
          <w:tcPr>
            <w:tcW w:w="922" w:type="pct"/>
            <w:shd w:val="clear" w:color="auto" w:fill="auto"/>
            <w:vAlign w:val="bottom"/>
          </w:tcPr>
          <w:p>
            <w:pPr>
              <w:pStyle w:val="53"/>
            </w:pPr>
            <w:r>
              <w:t xml:space="preserve">32.00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4.3</w:t>
            </w:r>
          </w:p>
        </w:tc>
        <w:tc>
          <w:tcPr>
            <w:tcW w:w="1952" w:type="pct"/>
            <w:shd w:val="clear" w:color="auto" w:fill="auto"/>
            <w:vAlign w:val="bottom"/>
          </w:tcPr>
          <w:p>
            <w:pPr>
              <w:pStyle w:val="53"/>
            </w:pPr>
            <w:r>
              <w:t>科研勘测设计费</w:t>
            </w:r>
          </w:p>
        </w:tc>
        <w:tc>
          <w:tcPr>
            <w:tcW w:w="1019" w:type="pct"/>
            <w:shd w:val="clear" w:color="auto" w:fill="auto"/>
            <w:vAlign w:val="bottom"/>
          </w:tcPr>
          <w:p>
            <w:pPr>
              <w:pStyle w:val="53"/>
            </w:pPr>
            <w:r>
              <w:t xml:space="preserve">32.65 </w:t>
            </w:r>
          </w:p>
        </w:tc>
        <w:tc>
          <w:tcPr>
            <w:tcW w:w="922" w:type="pct"/>
            <w:shd w:val="clear" w:color="auto" w:fill="auto"/>
            <w:vAlign w:val="bottom"/>
          </w:tcPr>
          <w:p>
            <w:pPr>
              <w:pStyle w:val="53"/>
            </w:pPr>
            <w:r>
              <w:t xml:space="preserve">32.65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4.4</w:t>
            </w:r>
          </w:p>
        </w:tc>
        <w:tc>
          <w:tcPr>
            <w:tcW w:w="1952" w:type="pct"/>
            <w:shd w:val="clear" w:color="auto" w:fill="auto"/>
            <w:vAlign w:val="bottom"/>
          </w:tcPr>
          <w:p>
            <w:pPr>
              <w:pStyle w:val="53"/>
            </w:pPr>
            <w:r>
              <w:t>水土保持监测费</w:t>
            </w:r>
          </w:p>
        </w:tc>
        <w:tc>
          <w:tcPr>
            <w:tcW w:w="1019" w:type="pct"/>
            <w:shd w:val="clear" w:color="auto" w:fill="auto"/>
            <w:vAlign w:val="bottom"/>
          </w:tcPr>
          <w:p>
            <w:pPr>
              <w:pStyle w:val="53"/>
            </w:pPr>
            <w:r>
              <w:t xml:space="preserve">55.06 </w:t>
            </w:r>
          </w:p>
        </w:tc>
        <w:tc>
          <w:tcPr>
            <w:tcW w:w="922" w:type="pct"/>
            <w:shd w:val="clear" w:color="auto" w:fill="auto"/>
            <w:vAlign w:val="bottom"/>
          </w:tcPr>
          <w:p>
            <w:pPr>
              <w:pStyle w:val="53"/>
            </w:pPr>
            <w:r>
              <w:t xml:space="preserve">55.06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4.5</w:t>
            </w:r>
          </w:p>
        </w:tc>
        <w:tc>
          <w:tcPr>
            <w:tcW w:w="1952" w:type="pct"/>
            <w:shd w:val="clear" w:color="auto" w:fill="auto"/>
            <w:vAlign w:val="bottom"/>
          </w:tcPr>
          <w:p>
            <w:pPr>
              <w:pStyle w:val="53"/>
            </w:pPr>
            <w:r>
              <w:t>水土保持设施验收技术评估费</w:t>
            </w:r>
          </w:p>
        </w:tc>
        <w:tc>
          <w:tcPr>
            <w:tcW w:w="1019" w:type="pct"/>
            <w:shd w:val="clear" w:color="auto" w:fill="auto"/>
            <w:vAlign w:val="bottom"/>
          </w:tcPr>
          <w:p>
            <w:pPr>
              <w:pStyle w:val="53"/>
            </w:pPr>
            <w:r>
              <w:t xml:space="preserve">9.00 </w:t>
            </w:r>
          </w:p>
        </w:tc>
        <w:tc>
          <w:tcPr>
            <w:tcW w:w="922" w:type="pct"/>
            <w:shd w:val="clear" w:color="auto" w:fill="auto"/>
            <w:vAlign w:val="bottom"/>
          </w:tcPr>
          <w:p>
            <w:pPr>
              <w:pStyle w:val="53"/>
            </w:pPr>
            <w:r>
              <w:t xml:space="preserve">9.00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5</w:t>
            </w:r>
          </w:p>
        </w:tc>
        <w:tc>
          <w:tcPr>
            <w:tcW w:w="1952" w:type="pct"/>
            <w:shd w:val="clear" w:color="auto" w:fill="auto"/>
            <w:vAlign w:val="bottom"/>
          </w:tcPr>
          <w:p>
            <w:pPr>
              <w:pStyle w:val="53"/>
            </w:pPr>
            <w:r>
              <w:t>一至四部分合计</w:t>
            </w:r>
          </w:p>
        </w:tc>
        <w:tc>
          <w:tcPr>
            <w:tcW w:w="1019" w:type="pct"/>
            <w:shd w:val="clear" w:color="auto" w:fill="auto"/>
            <w:vAlign w:val="bottom"/>
          </w:tcPr>
          <w:p>
            <w:pPr>
              <w:pStyle w:val="53"/>
            </w:pPr>
            <w:r>
              <w:t xml:space="preserve">2126.61 </w:t>
            </w:r>
          </w:p>
        </w:tc>
        <w:tc>
          <w:tcPr>
            <w:tcW w:w="922" w:type="pct"/>
            <w:shd w:val="clear" w:color="auto" w:fill="auto"/>
            <w:vAlign w:val="bottom"/>
          </w:tcPr>
          <w:p>
            <w:pPr>
              <w:pStyle w:val="53"/>
            </w:pPr>
            <w:r>
              <w:t xml:space="preserve">2126.61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6</w:t>
            </w:r>
          </w:p>
        </w:tc>
        <w:tc>
          <w:tcPr>
            <w:tcW w:w="1952" w:type="pct"/>
            <w:shd w:val="clear" w:color="auto" w:fill="auto"/>
            <w:vAlign w:val="bottom"/>
          </w:tcPr>
          <w:p>
            <w:pPr>
              <w:pStyle w:val="53"/>
            </w:pPr>
            <w:r>
              <w:t>基本预备费</w:t>
            </w:r>
          </w:p>
        </w:tc>
        <w:tc>
          <w:tcPr>
            <w:tcW w:w="1019" w:type="pct"/>
            <w:shd w:val="clear" w:color="auto" w:fill="auto"/>
            <w:vAlign w:val="bottom"/>
          </w:tcPr>
          <w:p>
            <w:pPr>
              <w:pStyle w:val="53"/>
            </w:pPr>
            <w:r>
              <w:t xml:space="preserve">19.42 </w:t>
            </w:r>
          </w:p>
        </w:tc>
        <w:tc>
          <w:tcPr>
            <w:tcW w:w="922" w:type="pct"/>
            <w:shd w:val="clear" w:color="auto" w:fill="auto"/>
            <w:vAlign w:val="bottom"/>
          </w:tcPr>
          <w:p>
            <w:pPr>
              <w:pStyle w:val="53"/>
            </w:pPr>
            <w:r>
              <w:t xml:space="preserve">19.42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7</w:t>
            </w:r>
          </w:p>
        </w:tc>
        <w:tc>
          <w:tcPr>
            <w:tcW w:w="1952" w:type="pct"/>
            <w:shd w:val="clear" w:color="auto" w:fill="auto"/>
            <w:vAlign w:val="bottom"/>
          </w:tcPr>
          <w:p>
            <w:pPr>
              <w:pStyle w:val="53"/>
            </w:pPr>
            <w:r>
              <w:t>水土保持设施补偿费</w:t>
            </w:r>
          </w:p>
        </w:tc>
        <w:tc>
          <w:tcPr>
            <w:tcW w:w="1019" w:type="pct"/>
            <w:shd w:val="clear" w:color="auto" w:fill="auto"/>
            <w:vAlign w:val="bottom"/>
          </w:tcPr>
          <w:p>
            <w:pPr>
              <w:pStyle w:val="53"/>
            </w:pPr>
            <w:r>
              <w:t xml:space="preserve">27.90 </w:t>
            </w:r>
          </w:p>
        </w:tc>
        <w:tc>
          <w:tcPr>
            <w:tcW w:w="922" w:type="pct"/>
            <w:shd w:val="clear" w:color="auto" w:fill="auto"/>
            <w:vAlign w:val="bottom"/>
          </w:tcPr>
          <w:p>
            <w:pPr>
              <w:pStyle w:val="53"/>
            </w:pPr>
            <w:r>
              <w:t xml:space="preserve">27.90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8</w:t>
            </w:r>
          </w:p>
        </w:tc>
        <w:tc>
          <w:tcPr>
            <w:tcW w:w="1952" w:type="pct"/>
            <w:shd w:val="clear" w:color="auto" w:fill="auto"/>
            <w:vAlign w:val="bottom"/>
          </w:tcPr>
          <w:p>
            <w:pPr>
              <w:pStyle w:val="53"/>
            </w:pPr>
            <w:r>
              <w:t>静态总投资</w:t>
            </w:r>
          </w:p>
        </w:tc>
        <w:tc>
          <w:tcPr>
            <w:tcW w:w="1019" w:type="pct"/>
            <w:shd w:val="clear" w:color="auto" w:fill="auto"/>
            <w:vAlign w:val="bottom"/>
          </w:tcPr>
          <w:p>
            <w:pPr>
              <w:pStyle w:val="53"/>
            </w:pPr>
            <w:r>
              <w:t xml:space="preserve">2173.93 </w:t>
            </w:r>
          </w:p>
        </w:tc>
        <w:tc>
          <w:tcPr>
            <w:tcW w:w="922" w:type="pct"/>
            <w:shd w:val="clear" w:color="auto" w:fill="auto"/>
            <w:vAlign w:val="bottom"/>
          </w:tcPr>
          <w:p>
            <w:pPr>
              <w:pStyle w:val="53"/>
            </w:pPr>
            <w:r>
              <w:t xml:space="preserve">2173.93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9</w:t>
            </w:r>
          </w:p>
        </w:tc>
        <w:tc>
          <w:tcPr>
            <w:tcW w:w="1952" w:type="pct"/>
            <w:shd w:val="clear" w:color="auto" w:fill="auto"/>
            <w:vAlign w:val="bottom"/>
          </w:tcPr>
          <w:p>
            <w:pPr>
              <w:pStyle w:val="53"/>
            </w:pPr>
            <w:r>
              <w:t>价差预备费</w:t>
            </w:r>
          </w:p>
        </w:tc>
        <w:tc>
          <w:tcPr>
            <w:tcW w:w="1019" w:type="pct"/>
            <w:shd w:val="clear" w:color="auto" w:fill="auto"/>
            <w:vAlign w:val="bottom"/>
          </w:tcPr>
          <w:p>
            <w:pPr>
              <w:pStyle w:val="53"/>
            </w:pPr>
            <w:r>
              <w:t>　</w:t>
            </w:r>
          </w:p>
        </w:tc>
        <w:tc>
          <w:tcPr>
            <w:tcW w:w="922" w:type="pct"/>
            <w:shd w:val="clear" w:color="auto" w:fill="auto"/>
            <w:vAlign w:val="bottom"/>
          </w:tcPr>
          <w:p>
            <w:pPr>
              <w:pStyle w:val="53"/>
            </w:pPr>
            <w:r>
              <w:t>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10</w:t>
            </w:r>
          </w:p>
        </w:tc>
        <w:tc>
          <w:tcPr>
            <w:tcW w:w="1952" w:type="pct"/>
            <w:shd w:val="clear" w:color="auto" w:fill="auto"/>
            <w:vAlign w:val="bottom"/>
          </w:tcPr>
          <w:p>
            <w:pPr>
              <w:pStyle w:val="53"/>
            </w:pPr>
            <w:r>
              <w:t>建设期融资利息</w:t>
            </w:r>
          </w:p>
        </w:tc>
        <w:tc>
          <w:tcPr>
            <w:tcW w:w="1019" w:type="pct"/>
            <w:shd w:val="clear" w:color="auto" w:fill="auto"/>
            <w:vAlign w:val="bottom"/>
          </w:tcPr>
          <w:p>
            <w:pPr>
              <w:pStyle w:val="53"/>
            </w:pPr>
            <w:r>
              <w:t>　</w:t>
            </w:r>
          </w:p>
        </w:tc>
        <w:tc>
          <w:tcPr>
            <w:tcW w:w="922" w:type="pct"/>
            <w:shd w:val="clear" w:color="auto" w:fill="auto"/>
            <w:vAlign w:val="bottom"/>
          </w:tcPr>
          <w:p>
            <w:pPr>
              <w:pStyle w:val="53"/>
            </w:pPr>
            <w:r>
              <w:t>　</w:t>
            </w:r>
          </w:p>
        </w:tc>
        <w:tc>
          <w:tcPr>
            <w:tcW w:w="801" w:type="pct"/>
            <w:shd w:val="clear" w:color="auto" w:fill="auto"/>
            <w:vAlign w:val="bottom"/>
          </w:tcPr>
          <w:p>
            <w:pPr>
              <w:pStyle w:val="53"/>
            </w:pPr>
            <w:r>
              <w:rPr>
                <w:rFonts w:hint="eastAsia"/>
              </w:rPr>
              <w:t>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4" w:type="pct"/>
            <w:shd w:val="clear" w:color="auto" w:fill="auto"/>
            <w:vAlign w:val="bottom"/>
          </w:tcPr>
          <w:p>
            <w:pPr>
              <w:pStyle w:val="53"/>
            </w:pPr>
            <w:r>
              <w:t>11</w:t>
            </w:r>
          </w:p>
        </w:tc>
        <w:tc>
          <w:tcPr>
            <w:tcW w:w="1952" w:type="pct"/>
            <w:shd w:val="clear" w:color="auto" w:fill="auto"/>
            <w:vAlign w:val="bottom"/>
          </w:tcPr>
          <w:p>
            <w:pPr>
              <w:pStyle w:val="53"/>
            </w:pPr>
            <w:r>
              <w:t>工程总投资</w:t>
            </w:r>
          </w:p>
        </w:tc>
        <w:tc>
          <w:tcPr>
            <w:tcW w:w="1019" w:type="pct"/>
            <w:shd w:val="clear" w:color="auto" w:fill="auto"/>
            <w:vAlign w:val="bottom"/>
          </w:tcPr>
          <w:p>
            <w:pPr>
              <w:pStyle w:val="53"/>
            </w:pPr>
            <w:r>
              <w:t xml:space="preserve">2173.93 </w:t>
            </w:r>
          </w:p>
        </w:tc>
        <w:tc>
          <w:tcPr>
            <w:tcW w:w="922" w:type="pct"/>
            <w:shd w:val="clear" w:color="auto" w:fill="auto"/>
            <w:vAlign w:val="bottom"/>
          </w:tcPr>
          <w:p>
            <w:pPr>
              <w:pStyle w:val="53"/>
            </w:pPr>
            <w:r>
              <w:t xml:space="preserve">2173.93 </w:t>
            </w:r>
          </w:p>
        </w:tc>
        <w:tc>
          <w:tcPr>
            <w:tcW w:w="801" w:type="pct"/>
            <w:shd w:val="clear" w:color="auto" w:fill="auto"/>
            <w:vAlign w:val="bottom"/>
          </w:tcPr>
          <w:p>
            <w:pPr>
              <w:pStyle w:val="53"/>
            </w:pPr>
            <w:r>
              <w:rPr>
                <w:rFonts w:hint="eastAsia"/>
              </w:rPr>
              <w:t>0</w:t>
            </w:r>
          </w:p>
        </w:tc>
      </w:tr>
    </w:tbl>
    <w:p>
      <w:pPr>
        <w:pStyle w:val="2"/>
        <w:ind w:firstLine="422"/>
        <w:jc w:val="center"/>
        <w:rPr>
          <w:rFonts w:ascii="仿宋" w:cs="仿宋"/>
          <w:b/>
          <w:bCs/>
          <w:sz w:val="21"/>
          <w:szCs w:val="21"/>
        </w:rPr>
      </w:pPr>
    </w:p>
    <w:p>
      <w:pPr>
        <w:ind w:firstLine="480"/>
        <w:rPr>
          <w:rFonts w:cs="仿宋"/>
          <w:bCs/>
        </w:rPr>
      </w:pPr>
      <w:r>
        <w:rPr>
          <w:rFonts w:hint="eastAsia" w:cs="仿宋"/>
          <w:bCs/>
        </w:rPr>
        <w:t>综上所述，由于水土保持方案中计列的水保措施基本都已实施，且实际施工过程中，充分利用项目区周边地形和排水系统，因地制宜布设了排水沉沙措施、拦挡措施及撒播植草等措施，各项措施充分发挥了水土保持作用，满足水土保持要求。</w:t>
      </w:r>
      <w:bookmarkEnd w:id="53"/>
      <w:bookmarkEnd w:id="54"/>
      <w:bookmarkEnd w:id="55"/>
      <w:bookmarkStart w:id="94" w:name="_Toc351644419"/>
      <w:bookmarkStart w:id="95" w:name="_Toc248204889"/>
      <w:bookmarkStart w:id="96" w:name="_Toc247686187"/>
      <w:bookmarkStart w:id="97" w:name="_Toc248204821"/>
    </w:p>
    <w:p>
      <w:pPr>
        <w:ind w:firstLine="0" w:firstLineChars="0"/>
        <w:rPr>
          <w:rFonts w:cs="仿宋"/>
          <w:bCs/>
        </w:rPr>
        <w:sectPr>
          <w:headerReference r:id="rId13" w:type="default"/>
          <w:pgSz w:w="11906" w:h="16838"/>
          <w:pgMar w:top="1587" w:right="1587" w:bottom="1587" w:left="1587" w:header="567" w:footer="567" w:gutter="0"/>
          <w:cols w:space="720" w:num="1"/>
          <w:docGrid w:type="lines" w:linePitch="312" w:charSpace="0"/>
        </w:sectPr>
      </w:pPr>
    </w:p>
    <w:p>
      <w:pPr>
        <w:pStyle w:val="3"/>
        <w:spacing w:line="240" w:lineRule="auto"/>
        <w:ind w:firstLine="0" w:firstLineChars="0"/>
        <w:jc w:val="center"/>
        <w:rPr>
          <w:rFonts w:cs="仿宋"/>
          <w:kern w:val="0"/>
        </w:rPr>
      </w:pPr>
      <w:bookmarkStart w:id="98" w:name="_Toc19819"/>
      <w:r>
        <w:rPr>
          <w:rFonts w:cs="仿宋"/>
          <w:kern w:val="0"/>
        </w:rPr>
        <w:t>4水土保持工程质量</w:t>
      </w:r>
      <w:bookmarkEnd w:id="94"/>
      <w:bookmarkEnd w:id="95"/>
      <w:bookmarkEnd w:id="96"/>
      <w:bookmarkEnd w:id="97"/>
      <w:bookmarkEnd w:id="98"/>
    </w:p>
    <w:p>
      <w:pPr>
        <w:pStyle w:val="4"/>
        <w:ind w:firstLine="562"/>
      </w:pPr>
      <w:bookmarkStart w:id="99" w:name="_Toc7788"/>
      <w:r>
        <w:t>4.1 质量管理体系</w:t>
      </w:r>
      <w:bookmarkEnd w:id="99"/>
    </w:p>
    <w:p>
      <w:pPr>
        <w:ind w:firstLine="480"/>
        <w:rPr>
          <w:rFonts w:cs="仿宋"/>
        </w:rPr>
      </w:pPr>
      <w:r>
        <w:rPr>
          <w:rFonts w:hint="eastAsia" w:cs="仿宋"/>
        </w:rPr>
        <w:t>为加强工程质量管理，提高工程施工质量，实现工程总体目标，本项目建设过程中建立健全了各项规章制度，并将水土保持工程纳入主体工程的管理中，制定了《工程质量管理办法》、《工程整体验收制度》、《合同管理标准》、《质量监督站工作管理》、《财务预算管理》、《财务结算管理》、《安全文明施工管理制度》等一系列规章制度。工程质量实行业主项目部负责、监理单位控制、施工单位保证、质监站监督相结合的质量管理体制。建立质量管理网络，实行全面工程质量管理。</w:t>
      </w:r>
    </w:p>
    <w:p>
      <w:pPr>
        <w:ind w:firstLine="480"/>
        <w:rPr>
          <w:rFonts w:cs="仿宋"/>
        </w:rPr>
      </w:pPr>
      <w:r>
        <w:rPr>
          <w:rFonts w:hint="eastAsia" w:cs="仿宋"/>
        </w:rPr>
        <w:t>（1）建设单位质量控制体系</w:t>
      </w:r>
    </w:p>
    <w:p>
      <w:pPr>
        <w:adjustRightInd w:val="0"/>
        <w:ind w:firstLine="480"/>
        <w:rPr>
          <w:rFonts w:cs="仿宋"/>
        </w:rPr>
      </w:pPr>
      <w:r>
        <w:rPr>
          <w:rFonts w:hint="eastAsia" w:cs="仿宋"/>
        </w:rPr>
        <w:t>在工程建设过程中，建设单位始终把工程质量放在首要位置，实行全过程的质量控制和监督。在工程建设过程中严格实行项目法人制、招投标制、建设监理制，实行内部合同管理制度。根据工程规模和特点，要求施工单位必须严格按照批复的设计图纸施工；监理单位必须始终以“工程质量”为核心，建立质量管理制度，并实行全方位、全过程的监理。为了加强质量管理，在工程建设过程中，经常派人到施工现场进行监督管理，了解工程质量情况，发现问题立即要求监理和施工单位进行处理。对完工项目及时进行验收。</w:t>
      </w:r>
    </w:p>
    <w:p>
      <w:pPr>
        <w:ind w:firstLine="480"/>
        <w:rPr>
          <w:rFonts w:cs="仿宋"/>
        </w:rPr>
      </w:pPr>
      <w:r>
        <w:rPr>
          <w:rFonts w:hint="eastAsia" w:cs="仿宋"/>
        </w:rPr>
        <w:t>（2）设计单位质量保证体系</w:t>
      </w:r>
    </w:p>
    <w:p>
      <w:pPr>
        <w:ind w:firstLine="480"/>
        <w:rPr>
          <w:rFonts w:cs="仿宋"/>
          <w:color w:val="FF0000"/>
        </w:rPr>
      </w:pPr>
      <w:r>
        <w:rPr>
          <w:rFonts w:hint="eastAsia" w:cs="仿宋"/>
        </w:rPr>
        <w:t>主体设计单位为：中信建筑设计研究总院有限公司</w:t>
      </w:r>
    </w:p>
    <w:p>
      <w:pPr>
        <w:ind w:firstLine="480"/>
        <w:rPr>
          <w:rFonts w:cs="仿宋"/>
        </w:rPr>
      </w:pPr>
      <w:r>
        <w:rPr>
          <w:rFonts w:hint="eastAsia" w:cs="仿宋"/>
        </w:rPr>
        <w:t>设计单位依据GB/T19001-2008质量管理体系的要求，严格执行国家有关法律法规，规范、技术标准和合同文件，并结合的实际情况，编制了文件化的质量管理体系，建立和完善了质量管理体系，对所有程序进行严格质量控制，有效地确保了项目设计质量。设计单位按计划要求，定期召开例会，检查设计进度和质量，分阶段向业主汇报；合理安排设计、校对、审核、审定的工作程序，保证设计文件按时、按量完成。</w:t>
      </w:r>
    </w:p>
    <w:p>
      <w:pPr>
        <w:ind w:firstLine="480"/>
        <w:rPr>
          <w:rFonts w:cs="仿宋"/>
        </w:rPr>
      </w:pPr>
      <w:r>
        <w:rPr>
          <w:rFonts w:hint="eastAsia" w:cs="仿宋"/>
        </w:rPr>
        <w:t>（2）施工单位质量保证体系</w:t>
      </w:r>
    </w:p>
    <w:p>
      <w:pPr>
        <w:ind w:firstLine="480"/>
        <w:rPr>
          <w:rFonts w:cs="仿宋"/>
        </w:rPr>
      </w:pPr>
      <w:r>
        <w:rPr>
          <w:rFonts w:hint="eastAsia" w:cs="仿宋"/>
        </w:rPr>
        <w:t>施工单位为：湖北</w:t>
      </w:r>
      <w:r>
        <w:rPr>
          <w:rFonts w:hint="eastAsia"/>
        </w:rPr>
        <w:t>民族建设集团有限公司、湖北广盛建设集团有限责任公司</w:t>
      </w:r>
    </w:p>
    <w:p>
      <w:pPr>
        <w:ind w:firstLine="480"/>
        <w:rPr>
          <w:rFonts w:cs="仿宋"/>
        </w:rPr>
      </w:pPr>
      <w:r>
        <w:rPr>
          <w:rFonts w:hint="eastAsia" w:cs="仿宋"/>
        </w:rPr>
        <w:t>施工单位具有完善的质量保证机构：一是建立了第一质量责任人的质量保证体系，对工程施工进行全面的质量管理；二是实行工程质量终身负责制，层层落实、签订质量责任书，各自负责其相应的责任，接受监理以及监督部门的监督；根据有关房地产建设的质量方针、环境指标、政策、法规、规程、规范和标准，把好质量关。在工程质量管理上，认真抓好工程开工前的施工质量保证和施工过程中的质量管理。</w:t>
      </w:r>
    </w:p>
    <w:p>
      <w:pPr>
        <w:ind w:firstLine="480"/>
      </w:pPr>
      <w:r>
        <w:rPr>
          <w:rFonts w:hint="eastAsia"/>
        </w:rPr>
        <w:t>（3）监理单位质量控制体系</w:t>
      </w:r>
    </w:p>
    <w:p>
      <w:pPr>
        <w:ind w:firstLine="480"/>
      </w:pPr>
      <w:r>
        <w:rPr>
          <w:rFonts w:hint="eastAsia"/>
        </w:rPr>
        <w:t>监理单位：北京中协成建设监理有限责任公司</w:t>
      </w:r>
    </w:p>
    <w:p>
      <w:pPr>
        <w:ind w:firstLine="480"/>
      </w:pPr>
      <w:r>
        <w:rPr>
          <w:rFonts w:hint="eastAsia"/>
        </w:rPr>
        <w:t>为确保工程质量，监理单位与建设单位签订工程合同后，组建项目监理部，任命项目总工程师，进驻工程现场，按《监理过程控制程序》要求开展监理工作。对施工开始前和施工过程中的材料配备、工程情况和质量问题进行现场管理。必要时，可根据各项管理工作的需要，制定较为具体的管理规定或实施细则，经总监审定后报主管副主任批准后，发送施工单位依照执行。</w:t>
      </w:r>
    </w:p>
    <w:p>
      <w:pPr>
        <w:ind w:firstLine="480"/>
      </w:pPr>
      <w:r>
        <w:rPr>
          <w:rFonts w:hint="eastAsia"/>
        </w:rPr>
        <w:t>监理人员定期和不定期深入现场工地检查工程质量、对重大质量事故处理意见的审查、签发质量低劣工程的停工令、主持重大质量事故分析会、掌握整个工程质量动态、组织或参加重大项目质量监督检查及等级的评定工作，对工程施工、设备安装质量和各管理环节等方案作出总体评价。</w:t>
      </w:r>
    </w:p>
    <w:p>
      <w:pPr>
        <w:ind w:firstLine="480"/>
      </w:pPr>
      <w:r>
        <w:rPr>
          <w:rFonts w:hint="eastAsia"/>
        </w:rPr>
        <w:t>（4）监督单位质量控制体系</w:t>
      </w:r>
    </w:p>
    <w:p>
      <w:pPr>
        <w:ind w:firstLine="480"/>
      </w:pPr>
      <w:r>
        <w:rPr>
          <w:rFonts w:hint="eastAsia"/>
        </w:rPr>
        <w:t>在工程实施前，工程质量监督中心站组织对监理人员进行考核，考核不合格的监理人员不能担任监理工程；同时组织对监理及施工单位的工地试验室进行考核并颁发临时资质，从源头上控制工程的质量。施工过程中，工程质监站深入现场对工程质量进行监督检查，掌握工程质量状况。对发现的施工、设备材料等质量问题，及时以《建设工程质量整改通知单》下达有关单位。工程完工后组织进行质量监督检查工作，出具质量监督报告，参加工程的交工验收工作，核定工程质量等级。</w:t>
      </w:r>
    </w:p>
    <w:p>
      <w:pPr>
        <w:ind w:firstLine="480"/>
      </w:pPr>
      <w:r>
        <w:rPr>
          <w:rFonts w:hint="eastAsia"/>
        </w:rPr>
        <w:t>水土保持工程施工中没有发生过重大质量事故及缺陷。施工中发生的一般工程质量问题及技术缺陷由施工单位和监理人员在现场解决。</w:t>
      </w:r>
    </w:p>
    <w:p>
      <w:pPr>
        <w:pStyle w:val="4"/>
        <w:ind w:firstLine="562"/>
      </w:pPr>
      <w:bookmarkStart w:id="100" w:name="_Toc14411"/>
      <w:r>
        <w:t>4.2 各防治分区水土保持工程质量评价</w:t>
      </w:r>
      <w:bookmarkEnd w:id="100"/>
    </w:p>
    <w:p>
      <w:pPr>
        <w:pStyle w:val="5"/>
        <w:ind w:firstLine="562"/>
      </w:pPr>
      <w:bookmarkStart w:id="101" w:name="_Toc529801414"/>
      <w:bookmarkStart w:id="102" w:name="_Toc26841"/>
      <w:bookmarkStart w:id="103" w:name="_Toc529379727"/>
      <w:r>
        <w:t>4.2.1 工程项目划分及结果</w:t>
      </w:r>
      <w:bookmarkEnd w:id="101"/>
      <w:bookmarkEnd w:id="102"/>
      <w:bookmarkEnd w:id="103"/>
    </w:p>
    <w:p>
      <w:pPr>
        <w:ind w:firstLine="480"/>
        <w:rPr>
          <w:rFonts w:cs="仿宋"/>
        </w:rPr>
      </w:pPr>
      <w:r>
        <w:rPr>
          <w:rFonts w:hint="eastAsia" w:cs="仿宋"/>
        </w:rPr>
        <w:t>水土保持工程质量评估采用查阅施工记录、监理记录、监测报告和自检报告等资料，结合现场检查情况进行综合评估。根据《开发建设项目水土保持设施验收技术规程》（GB/T22490-2008）和《水土保持工程质量评定规程》（SL336-2006）的要求，采取全面检查和抽查相结合的办法，对本项目水土保持工程措施、植物措施进行质量评价。</w:t>
      </w:r>
    </w:p>
    <w:p>
      <w:pPr>
        <w:pStyle w:val="5"/>
        <w:ind w:firstLine="562"/>
      </w:pPr>
      <w:bookmarkStart w:id="104" w:name="_Toc529379728"/>
      <w:bookmarkStart w:id="105" w:name="_Toc529801415"/>
      <w:bookmarkStart w:id="106" w:name="_Toc110"/>
      <w:r>
        <w:t>4.2.2 各防治区工程质量评价</w:t>
      </w:r>
      <w:bookmarkEnd w:id="104"/>
      <w:bookmarkEnd w:id="105"/>
      <w:bookmarkEnd w:id="106"/>
    </w:p>
    <w:p>
      <w:pPr>
        <w:ind w:firstLine="480"/>
        <w:rPr>
          <w:rFonts w:cs="仿宋"/>
        </w:rPr>
      </w:pPr>
      <w:r>
        <w:rPr>
          <w:rFonts w:hint="eastAsia" w:cs="仿宋"/>
        </w:rPr>
        <w:t>经过现场检查，查阅有关自检结论和交工资料，水土保持工程从原材料、中间产品及成品的质量均为合格，建筑物结构尺寸规则，外表美观，质量符合设计要求，工程措施质量总体达到合格。</w:t>
      </w:r>
    </w:p>
    <w:p>
      <w:pPr>
        <w:ind w:firstLine="480"/>
      </w:pPr>
      <w:r>
        <w:rPr>
          <w:rFonts w:hint="eastAsia"/>
        </w:rPr>
        <w:t>各分区水土保持工程措施基本已按照水土保持方案设计进行实施。水土保持工程措施防治责任基本得到落实。工程措施已按照相应的设计标准进行了施工，符合有关标准要求，能够起到良好的保护水土资源作用。总体上各分区水土保持植物措施基本已按照水土保持方案设计进行实施。水土保持植物措施防治责任基本得到落实。植物措施已按照相应的设计标准进行了施工，符合有关标准要求，起到了良好的保护水土资源作用。总体上各分区水土保持临时措施基本已按照水土保持方案设计进行实施。水土保持临时防治措施防治责任基本得到落实。临时防治措施已按照相应的设计标准进行了施工，符合有关标准要求，起到了良好的保护水土资源作用。</w:t>
      </w:r>
    </w:p>
    <w:p>
      <w:pPr>
        <w:ind w:firstLine="480"/>
        <w:rPr>
          <w:rFonts w:cs="仿宋"/>
        </w:rPr>
      </w:pPr>
      <w:r>
        <w:rPr>
          <w:rFonts w:hint="eastAsia" w:cs="仿宋"/>
        </w:rPr>
        <w:t>植物措施树草种选择合理，按园林绿化标准和水土保持要求科学搭配，布局合理，植被成活率达到98%以上，植物措施合格。</w:t>
      </w:r>
    </w:p>
    <w:p>
      <w:pPr>
        <w:pStyle w:val="6"/>
        <w:spacing w:before="156"/>
        <w:ind w:firstLine="480"/>
      </w:pPr>
      <w:r>
        <w:rPr>
          <w:rFonts w:hint="eastAsia"/>
        </w:rPr>
        <w:t>4.2.2.1 工程措施质量评定</w:t>
      </w:r>
    </w:p>
    <w:p>
      <w:pPr>
        <w:ind w:firstLine="480"/>
      </w:pPr>
      <w:r>
        <w:rPr>
          <w:rFonts w:hint="eastAsia"/>
        </w:rPr>
        <w:t>1. 竣工资料</w:t>
      </w:r>
      <w:r>
        <w:rPr>
          <w:rFonts w:hint="eastAsia" w:cs="仿宋"/>
        </w:rPr>
        <w:t>检查</w:t>
      </w:r>
      <w:r>
        <w:rPr>
          <w:rFonts w:hint="eastAsia"/>
        </w:rPr>
        <w:t>情况</w:t>
      </w:r>
    </w:p>
    <w:p>
      <w:pPr>
        <w:ind w:firstLine="480"/>
      </w:pPr>
      <w:r>
        <w:t>我单位对工程质量有关的施工材料、施工监理、质量检测、自查验收等资料进行了详细收集、整理和分析，通过对竣工资料的核查评定工程措施的总体质量等级。竣工资料核查情况及重点核查</w:t>
      </w:r>
      <w:r>
        <w:rPr>
          <w:rFonts w:hint="eastAsia"/>
        </w:rPr>
        <w:t>内容见下表</w:t>
      </w:r>
      <w:r>
        <w:t>。</w:t>
      </w:r>
    </w:p>
    <w:p>
      <w:pPr>
        <w:ind w:firstLine="422"/>
        <w:jc w:val="center"/>
        <w:rPr>
          <w:sz w:val="22"/>
          <w:szCs w:val="22"/>
        </w:rPr>
      </w:pPr>
      <w:r>
        <w:rPr>
          <w:rFonts w:hint="eastAsia" w:eastAsia="仿宋_GB2312"/>
          <w:b/>
          <w:bCs/>
          <w:sz w:val="21"/>
          <w:szCs w:val="21"/>
        </w:rPr>
        <w:t>表4-2 竣工资料核查内容表</w:t>
      </w:r>
    </w:p>
    <w:tbl>
      <w:tblPr>
        <w:tblStyle w:val="23"/>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1245"/>
        <w:gridCol w:w="3360"/>
        <w:gridCol w:w="3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dxa"/>
            <w:tcBorders>
              <w:tl2br w:val="nil"/>
              <w:tr2bl w:val="nil"/>
            </w:tcBorders>
            <w:vAlign w:val="center"/>
          </w:tcPr>
          <w:p>
            <w:pPr>
              <w:pStyle w:val="67"/>
            </w:pPr>
            <w:r>
              <w:rPr>
                <w:rFonts w:hint="eastAsia"/>
              </w:rPr>
              <w:t>编号</w:t>
            </w:r>
          </w:p>
        </w:tc>
        <w:tc>
          <w:tcPr>
            <w:tcW w:w="4605" w:type="dxa"/>
            <w:gridSpan w:val="2"/>
            <w:tcBorders>
              <w:tl2br w:val="nil"/>
              <w:tr2bl w:val="nil"/>
            </w:tcBorders>
            <w:vAlign w:val="center"/>
          </w:tcPr>
          <w:p>
            <w:pPr>
              <w:pStyle w:val="67"/>
            </w:pPr>
            <w:r>
              <w:rPr>
                <w:rFonts w:hint="eastAsia"/>
              </w:rPr>
              <w:t>核查资料</w:t>
            </w:r>
          </w:p>
        </w:tc>
        <w:tc>
          <w:tcPr>
            <w:tcW w:w="3654" w:type="dxa"/>
            <w:tcBorders>
              <w:tl2br w:val="nil"/>
              <w:tr2bl w:val="nil"/>
            </w:tcBorders>
            <w:vAlign w:val="center"/>
          </w:tcPr>
          <w:p>
            <w:pPr>
              <w:pStyle w:val="67"/>
            </w:pPr>
            <w:r>
              <w:rPr>
                <w:rFonts w:hint="eastAsia"/>
              </w:rPr>
              <w:t>核查内容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dxa"/>
            <w:tcBorders>
              <w:tl2br w:val="nil"/>
              <w:tr2bl w:val="nil"/>
            </w:tcBorders>
            <w:vAlign w:val="center"/>
          </w:tcPr>
          <w:p>
            <w:pPr>
              <w:pStyle w:val="67"/>
            </w:pPr>
            <w:r>
              <w:rPr>
                <w:rFonts w:hint="eastAsia"/>
              </w:rPr>
              <w:t>1</w:t>
            </w:r>
          </w:p>
        </w:tc>
        <w:tc>
          <w:tcPr>
            <w:tcW w:w="1245" w:type="dxa"/>
            <w:tcBorders>
              <w:tl2br w:val="nil"/>
              <w:tr2bl w:val="nil"/>
            </w:tcBorders>
            <w:vAlign w:val="center"/>
          </w:tcPr>
          <w:p>
            <w:pPr>
              <w:pStyle w:val="67"/>
            </w:pPr>
            <w:r>
              <w:rPr>
                <w:rFonts w:hint="eastAsia"/>
              </w:rPr>
              <w:t>施工材料检测资料</w:t>
            </w:r>
          </w:p>
        </w:tc>
        <w:tc>
          <w:tcPr>
            <w:tcW w:w="3360" w:type="dxa"/>
            <w:tcBorders>
              <w:tl2br w:val="nil"/>
              <w:tr2bl w:val="nil"/>
            </w:tcBorders>
            <w:vAlign w:val="center"/>
          </w:tcPr>
          <w:p>
            <w:pPr>
              <w:pStyle w:val="67"/>
            </w:pPr>
            <w:r>
              <w:rPr>
                <w:rFonts w:hint="eastAsia"/>
              </w:rPr>
              <w:t>原材料试验报告、砂石骨料试验报告、抗压强度试验报告</w:t>
            </w:r>
          </w:p>
        </w:tc>
        <w:tc>
          <w:tcPr>
            <w:tcW w:w="3654" w:type="dxa"/>
            <w:tcBorders>
              <w:tl2br w:val="nil"/>
              <w:tr2bl w:val="nil"/>
            </w:tcBorders>
            <w:vAlign w:val="center"/>
          </w:tcPr>
          <w:p>
            <w:pPr>
              <w:pStyle w:val="67"/>
            </w:pPr>
            <w:r>
              <w:rPr>
                <w:rFonts w:hint="eastAsia"/>
              </w:rPr>
              <w:t>核查施工材料是否符合设计规范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dxa"/>
            <w:tcBorders>
              <w:tl2br w:val="nil"/>
              <w:tr2bl w:val="nil"/>
            </w:tcBorders>
            <w:vAlign w:val="center"/>
          </w:tcPr>
          <w:p>
            <w:pPr>
              <w:pStyle w:val="67"/>
            </w:pPr>
            <w:r>
              <w:rPr>
                <w:rFonts w:hint="eastAsia"/>
              </w:rPr>
              <w:t>2</w:t>
            </w:r>
          </w:p>
        </w:tc>
        <w:tc>
          <w:tcPr>
            <w:tcW w:w="1245" w:type="dxa"/>
            <w:tcBorders>
              <w:tl2br w:val="nil"/>
              <w:tr2bl w:val="nil"/>
            </w:tcBorders>
            <w:vAlign w:val="center"/>
          </w:tcPr>
          <w:p>
            <w:pPr>
              <w:pStyle w:val="67"/>
            </w:pPr>
            <w:r>
              <w:rPr>
                <w:rFonts w:hint="eastAsia"/>
              </w:rPr>
              <w:t>自查初验材料</w:t>
            </w:r>
          </w:p>
        </w:tc>
        <w:tc>
          <w:tcPr>
            <w:tcW w:w="3360" w:type="dxa"/>
            <w:tcBorders>
              <w:tl2br w:val="nil"/>
              <w:tr2bl w:val="nil"/>
            </w:tcBorders>
            <w:vAlign w:val="center"/>
          </w:tcPr>
          <w:p>
            <w:pPr>
              <w:pStyle w:val="67"/>
            </w:pPr>
            <w:r>
              <w:rPr>
                <w:rFonts w:hint="eastAsia"/>
              </w:rPr>
              <w:t>工程质量评定表、外观质量评定表、单元工程质量评定表、单元工程验收见证单、分部工程验收签证、单位工程验收鉴定书、施工质量缺陷备案表</w:t>
            </w:r>
          </w:p>
        </w:tc>
        <w:tc>
          <w:tcPr>
            <w:tcW w:w="3654" w:type="dxa"/>
            <w:tcBorders>
              <w:tl2br w:val="nil"/>
              <w:tr2bl w:val="nil"/>
            </w:tcBorders>
            <w:vAlign w:val="center"/>
          </w:tcPr>
          <w:p>
            <w:pPr>
              <w:pStyle w:val="67"/>
            </w:pPr>
            <w:r>
              <w:rPr>
                <w:rFonts w:hint="eastAsia"/>
              </w:rPr>
              <w:t>核对水土保持工程实际完成的工程量及质量评定结论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dxa"/>
            <w:tcBorders>
              <w:tl2br w:val="nil"/>
              <w:tr2bl w:val="nil"/>
            </w:tcBorders>
            <w:vAlign w:val="center"/>
          </w:tcPr>
          <w:p>
            <w:pPr>
              <w:pStyle w:val="67"/>
            </w:pPr>
            <w:r>
              <w:rPr>
                <w:rFonts w:hint="eastAsia"/>
              </w:rPr>
              <w:t>3</w:t>
            </w:r>
          </w:p>
        </w:tc>
        <w:tc>
          <w:tcPr>
            <w:tcW w:w="1245" w:type="dxa"/>
            <w:tcBorders>
              <w:tl2br w:val="nil"/>
              <w:tr2bl w:val="nil"/>
            </w:tcBorders>
            <w:vAlign w:val="center"/>
          </w:tcPr>
          <w:p>
            <w:pPr>
              <w:pStyle w:val="67"/>
            </w:pPr>
            <w:r>
              <w:rPr>
                <w:rFonts w:hint="eastAsia"/>
              </w:rPr>
              <w:t>施工监理资料</w:t>
            </w:r>
          </w:p>
        </w:tc>
        <w:tc>
          <w:tcPr>
            <w:tcW w:w="3360" w:type="dxa"/>
            <w:tcBorders>
              <w:tl2br w:val="nil"/>
              <w:tr2bl w:val="nil"/>
            </w:tcBorders>
            <w:vAlign w:val="center"/>
          </w:tcPr>
          <w:p>
            <w:pPr>
              <w:pStyle w:val="67"/>
            </w:pPr>
            <w:r>
              <w:rPr>
                <w:rFonts w:hint="eastAsia"/>
              </w:rPr>
              <w:t>施工监理报告及监理记录</w:t>
            </w:r>
          </w:p>
        </w:tc>
        <w:tc>
          <w:tcPr>
            <w:tcW w:w="3654" w:type="dxa"/>
            <w:tcBorders>
              <w:tl2br w:val="nil"/>
              <w:tr2bl w:val="nil"/>
            </w:tcBorders>
            <w:vAlign w:val="center"/>
          </w:tcPr>
          <w:p>
            <w:pPr>
              <w:pStyle w:val="67"/>
            </w:pPr>
            <w:r>
              <w:rPr>
                <w:rFonts w:hint="eastAsia"/>
              </w:rPr>
              <w:t>确定工程施工时间、进度安排、施工工艺、隐蔽工程及施工事故；确定施工是否按照设计进度安排和施工工艺进行实施；通过监理记录确定实施的措施是否符合设计要求；确定是否存在设计变更、落实的水保措施数量及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dxa"/>
            <w:tcBorders>
              <w:tl2br w:val="nil"/>
              <w:tr2bl w:val="nil"/>
            </w:tcBorders>
            <w:vAlign w:val="center"/>
          </w:tcPr>
          <w:p>
            <w:pPr>
              <w:pStyle w:val="67"/>
            </w:pPr>
            <w:r>
              <w:rPr>
                <w:rFonts w:hint="eastAsia"/>
              </w:rPr>
              <w:t>4</w:t>
            </w:r>
          </w:p>
        </w:tc>
        <w:tc>
          <w:tcPr>
            <w:tcW w:w="1245" w:type="dxa"/>
            <w:tcBorders>
              <w:tl2br w:val="nil"/>
              <w:tr2bl w:val="nil"/>
            </w:tcBorders>
            <w:vAlign w:val="center"/>
          </w:tcPr>
          <w:p>
            <w:pPr>
              <w:pStyle w:val="67"/>
            </w:pPr>
            <w:r>
              <w:rPr>
                <w:rFonts w:hint="eastAsia"/>
              </w:rPr>
              <w:t>质量评定意见</w:t>
            </w:r>
          </w:p>
        </w:tc>
        <w:tc>
          <w:tcPr>
            <w:tcW w:w="3360" w:type="dxa"/>
            <w:tcBorders>
              <w:tl2br w:val="nil"/>
              <w:tr2bl w:val="nil"/>
            </w:tcBorders>
            <w:vAlign w:val="center"/>
          </w:tcPr>
          <w:p>
            <w:pPr>
              <w:pStyle w:val="67"/>
            </w:pPr>
            <w:r>
              <w:rPr>
                <w:rFonts w:hint="eastAsia"/>
              </w:rPr>
              <w:t>质量监督机构意见、质量检测材料</w:t>
            </w:r>
          </w:p>
        </w:tc>
        <w:tc>
          <w:tcPr>
            <w:tcW w:w="3654" w:type="dxa"/>
            <w:tcBorders>
              <w:tl2br w:val="nil"/>
              <w:tr2bl w:val="nil"/>
            </w:tcBorders>
            <w:vAlign w:val="center"/>
          </w:tcPr>
          <w:p>
            <w:pPr>
              <w:pStyle w:val="67"/>
            </w:pPr>
            <w:r>
              <w:rPr>
                <w:rFonts w:hint="eastAsia"/>
              </w:rPr>
              <w:t>确定经权威部门认可的工程质量评定意见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4" w:type="dxa"/>
            <w:tcBorders>
              <w:tl2br w:val="nil"/>
              <w:tr2bl w:val="nil"/>
            </w:tcBorders>
            <w:vAlign w:val="center"/>
          </w:tcPr>
          <w:p>
            <w:pPr>
              <w:pStyle w:val="67"/>
            </w:pPr>
            <w:r>
              <w:rPr>
                <w:rFonts w:hint="eastAsia"/>
              </w:rPr>
              <w:t>5</w:t>
            </w:r>
          </w:p>
        </w:tc>
        <w:tc>
          <w:tcPr>
            <w:tcW w:w="1245" w:type="dxa"/>
            <w:tcBorders>
              <w:tl2br w:val="nil"/>
              <w:tr2bl w:val="nil"/>
            </w:tcBorders>
            <w:vAlign w:val="center"/>
          </w:tcPr>
          <w:p>
            <w:pPr>
              <w:pStyle w:val="67"/>
            </w:pPr>
            <w:r>
              <w:rPr>
                <w:rFonts w:hint="eastAsia"/>
              </w:rPr>
              <w:t>监督执法意见</w:t>
            </w:r>
          </w:p>
        </w:tc>
        <w:tc>
          <w:tcPr>
            <w:tcW w:w="3360" w:type="dxa"/>
            <w:tcBorders>
              <w:tl2br w:val="nil"/>
              <w:tr2bl w:val="nil"/>
            </w:tcBorders>
            <w:vAlign w:val="center"/>
          </w:tcPr>
          <w:p>
            <w:pPr>
              <w:pStyle w:val="67"/>
            </w:pPr>
            <w:r>
              <w:rPr>
                <w:rFonts w:hint="eastAsia"/>
              </w:rPr>
              <w:t>水行政主管部门的历次执法监督意见</w:t>
            </w:r>
          </w:p>
        </w:tc>
        <w:tc>
          <w:tcPr>
            <w:tcW w:w="3654" w:type="dxa"/>
            <w:tcBorders>
              <w:tl2br w:val="nil"/>
              <w:tr2bl w:val="nil"/>
            </w:tcBorders>
            <w:vAlign w:val="center"/>
          </w:tcPr>
          <w:p>
            <w:pPr>
              <w:pStyle w:val="67"/>
            </w:pPr>
            <w:r>
              <w:rPr>
                <w:rFonts w:hint="eastAsia"/>
              </w:rPr>
              <w:t>体现督查情况及提出意见，以及整改落实情况</w:t>
            </w:r>
          </w:p>
        </w:tc>
      </w:tr>
    </w:tbl>
    <w:p>
      <w:pPr>
        <w:ind w:firstLine="480"/>
      </w:pPr>
      <w:r>
        <w:t>经核查，工程施工材料总体满足设计及合同要求，各项防护措施的实施时间、进度、安排、施工工艺等基本按照设计进行实施，混凝土强度、砂浆标号、砌砌石质量总体符合设计要求。</w:t>
      </w:r>
    </w:p>
    <w:p>
      <w:pPr>
        <w:numPr>
          <w:ilvl w:val="0"/>
          <w:numId w:val="1"/>
        </w:numPr>
        <w:ind w:firstLine="480"/>
      </w:pPr>
      <w:r>
        <w:t>工程措施检查结果</w:t>
      </w:r>
    </w:p>
    <w:p>
      <w:pPr>
        <w:ind w:firstLine="480"/>
      </w:pPr>
      <w:r>
        <w:t>对相应单位工程进行了资料查阅和现场查看，分部工程抽查核实比例100%，抽查核实比列满足规范要求。构筑物表面平整、无破损，排水通畅，运行正常，外观质量合格。浆砌石砌筑规则，嵌缝密实平整，外观美观；整治后的场地平整，满足植物生长要求</w:t>
      </w:r>
      <w:r>
        <w:rPr>
          <w:rFonts w:hint="eastAsia"/>
        </w:rPr>
        <w:t>；</w:t>
      </w:r>
      <w:r>
        <w:t>坡面排水孔、排水管平整、无破损，运行正常，外观质量合格；截水沟表面平整、无破损，排水通畅，外观质量合格</w:t>
      </w:r>
    </w:p>
    <w:p>
      <w:pPr>
        <w:ind w:firstLine="480"/>
      </w:pPr>
      <w:r>
        <w:t>现场核查结果显示，临建设施己拆除并实施了场地平整和绿化，故部分排水设施己不存在，根据水土保持监理和水上保持监测资料显示，施工生产生活区施工营地房屋周边设置M7.5浆砌石排水沟，排水沟表面平整，无破损，排水通畅，外观质量合格。土地整治平整，场地碾压密实。</w:t>
      </w:r>
      <w:r>
        <w:rPr>
          <w:rFonts w:hint="eastAsia"/>
        </w:rPr>
        <w:t>道路截排水沟等排洪导流设施断面尺寸满足要求，排水通畅，满足过流能力，未见裂缝、沉降和淤积，砂浆抹面外表美观，运行正常，外观质量合格。</w:t>
      </w:r>
    </w:p>
    <w:p>
      <w:pPr>
        <w:ind w:firstLine="480"/>
      </w:pPr>
      <w:r>
        <w:rPr>
          <w:rFonts w:hint="eastAsia"/>
        </w:rPr>
        <w:t>综上所述，</w:t>
      </w:r>
      <w:r>
        <w:rPr>
          <w:rFonts w:hint="eastAsia"/>
          <w:lang w:val="zh-CN"/>
        </w:rPr>
        <w:t>楚天都市沁园建设项目</w:t>
      </w:r>
      <w:r>
        <w:rPr>
          <w:rFonts w:hint="eastAsia"/>
        </w:rPr>
        <w:t>建设过程中将水土保持工程纳入主体工程施工之中，水土保持建设与主体工程建设同步进行，质量保证体系完善。对进入工程实体的原材料、中间产品和成品进行抽样调查、试验，对不合格材料严禁投入使用，有效保证了工程质量。水土保持工程措施从原材料、中间产品至成品质量合格，水土保持设施结构尺寸规则，外表整齐，质量符合设计和规范要求，工程质量总体合格。</w:t>
      </w:r>
    </w:p>
    <w:p>
      <w:pPr>
        <w:ind w:firstLine="442"/>
        <w:jc w:val="center"/>
        <w:rPr>
          <w:b/>
          <w:bCs/>
          <w:sz w:val="22"/>
          <w:szCs w:val="22"/>
        </w:rPr>
        <w:sectPr>
          <w:headerReference r:id="rId14" w:type="default"/>
          <w:pgSz w:w="11906" w:h="16838"/>
          <w:pgMar w:top="1587" w:right="1587" w:bottom="1587" w:left="1587" w:header="567" w:footer="567" w:gutter="0"/>
          <w:cols w:space="720" w:num="1"/>
          <w:docGrid w:type="lines" w:linePitch="312" w:charSpace="0"/>
        </w:sectPr>
      </w:pPr>
    </w:p>
    <w:p>
      <w:pPr>
        <w:ind w:firstLine="442"/>
        <w:jc w:val="center"/>
      </w:pPr>
      <w:r>
        <w:rPr>
          <w:rFonts w:hint="eastAsia"/>
          <w:b/>
          <w:bCs/>
          <w:sz w:val="22"/>
          <w:szCs w:val="22"/>
        </w:rPr>
        <w:t>表4-3 水土保持工程措施图</w:t>
      </w:r>
    </w:p>
    <w:tbl>
      <w:tblPr>
        <w:tblStyle w:val="23"/>
        <w:tblpPr w:leftFromText="180" w:rightFromText="180" w:vertAnchor="text" w:horzAnchor="page" w:tblpX="1698" w:tblpY="213"/>
        <w:tblOverlap w:val="never"/>
        <w:tblW w:w="48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7"/>
        <w:gridCol w:w="4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9" w:hRule="atLeast"/>
        </w:trPr>
        <w:tc>
          <w:tcPr>
            <w:tcW w:w="4377" w:type="dxa"/>
            <w:tcBorders>
              <w:tl2br w:val="nil"/>
              <w:tr2bl w:val="nil"/>
            </w:tcBorders>
          </w:tcPr>
          <w:p>
            <w:pPr>
              <w:pStyle w:val="67"/>
            </w:pPr>
            <w:r>
              <w:drawing>
                <wp:inline distT="0" distB="0" distL="85090" distR="85090">
                  <wp:extent cx="2875915" cy="2308860"/>
                  <wp:effectExtent l="0" t="1" r="43" b="31"/>
                  <wp:docPr id="85"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pic:cNvPicPr>
                            <a:picLocks noChangeAspect="1"/>
                          </pic:cNvPicPr>
                        </pic:nvPicPr>
                        <pic:blipFill>
                          <a:blip r:embed="rId36"/>
                          <a:stretch>
                            <a:fillRect/>
                          </a:stretch>
                        </pic:blipFill>
                        <pic:spPr>
                          <a:xfrm>
                            <a:off x="0" y="0"/>
                            <a:ext cx="2876454" cy="2309426"/>
                          </a:xfrm>
                          <a:prstGeom prst="rect">
                            <a:avLst/>
                          </a:prstGeom>
                          <a:noFill/>
                          <a:ln w="9525" cap="flat" cmpd="sng">
                            <a:noFill/>
                            <a:prstDash val="solid"/>
                            <a:miter/>
                          </a:ln>
                        </pic:spPr>
                      </pic:pic>
                    </a:graphicData>
                  </a:graphic>
                </wp:inline>
              </w:drawing>
            </w:r>
          </w:p>
        </w:tc>
        <w:tc>
          <w:tcPr>
            <w:tcW w:w="4378" w:type="dxa"/>
            <w:tcBorders>
              <w:tl2br w:val="nil"/>
              <w:tr2bl w:val="nil"/>
            </w:tcBorders>
          </w:tcPr>
          <w:p>
            <w:pPr>
              <w:pStyle w:val="67"/>
            </w:pPr>
            <w:r>
              <w:drawing>
                <wp:inline distT="0" distB="0" distL="85090" distR="85090">
                  <wp:extent cx="2494915" cy="2291080"/>
                  <wp:effectExtent l="0" t="0" r="29" b="21"/>
                  <wp:docPr id="88"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pic:cNvPicPr>
                            <a:picLocks noChangeAspect="1"/>
                          </pic:cNvPicPr>
                        </pic:nvPicPr>
                        <pic:blipFill>
                          <a:blip r:embed="rId37"/>
                          <a:stretch>
                            <a:fillRect/>
                          </a:stretch>
                        </pic:blipFill>
                        <pic:spPr>
                          <a:xfrm>
                            <a:off x="0" y="0"/>
                            <a:ext cx="2495540" cy="2291087"/>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755" w:type="dxa"/>
            <w:gridSpan w:val="2"/>
            <w:tcBorders>
              <w:tl2br w:val="nil"/>
              <w:tr2bl w:val="nil"/>
            </w:tcBorders>
            <w:vAlign w:val="center"/>
          </w:tcPr>
          <w:p>
            <w:pPr>
              <w:pStyle w:val="67"/>
              <w:jc w:val="center"/>
            </w:pPr>
            <w:r>
              <w:rPr>
                <w:rFonts w:hint="eastAsia"/>
              </w:rPr>
              <w:t>雨水集水口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0" w:hRule="atLeast"/>
        </w:trPr>
        <w:tc>
          <w:tcPr>
            <w:tcW w:w="4377" w:type="dxa"/>
            <w:tcBorders>
              <w:tl2br w:val="nil"/>
              <w:tr2bl w:val="nil"/>
            </w:tcBorders>
          </w:tcPr>
          <w:p>
            <w:pPr>
              <w:pStyle w:val="67"/>
            </w:pPr>
            <w:r>
              <w:drawing>
                <wp:inline distT="0" distB="0" distL="85090" distR="85090">
                  <wp:extent cx="2876550" cy="2372360"/>
                  <wp:effectExtent l="0" t="0" r="31" b="32"/>
                  <wp:docPr id="91"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pic:cNvPicPr>
                            <a:picLocks noChangeAspect="1"/>
                          </pic:cNvPicPr>
                        </pic:nvPicPr>
                        <pic:blipFill>
                          <a:blip r:embed="rId38"/>
                          <a:stretch>
                            <a:fillRect/>
                          </a:stretch>
                        </pic:blipFill>
                        <pic:spPr>
                          <a:xfrm>
                            <a:off x="0" y="0"/>
                            <a:ext cx="2876570" cy="2372482"/>
                          </a:xfrm>
                          <a:prstGeom prst="rect">
                            <a:avLst/>
                          </a:prstGeom>
                          <a:noFill/>
                          <a:ln w="9525" cap="flat" cmpd="sng">
                            <a:noFill/>
                            <a:prstDash val="solid"/>
                            <a:miter/>
                          </a:ln>
                        </pic:spPr>
                      </pic:pic>
                    </a:graphicData>
                  </a:graphic>
                </wp:inline>
              </w:drawing>
            </w:r>
          </w:p>
        </w:tc>
        <w:tc>
          <w:tcPr>
            <w:tcW w:w="4378" w:type="dxa"/>
            <w:tcBorders>
              <w:tl2br w:val="nil"/>
              <w:tr2bl w:val="nil"/>
            </w:tcBorders>
          </w:tcPr>
          <w:p>
            <w:pPr>
              <w:pStyle w:val="67"/>
            </w:pPr>
            <w:r>
              <w:drawing>
                <wp:inline distT="0" distB="0" distL="85090" distR="85090">
                  <wp:extent cx="2495550" cy="2352040"/>
                  <wp:effectExtent l="0" t="0" r="16" b="23"/>
                  <wp:docPr id="94" name="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pic:cNvPicPr>
                            <a:picLocks noChangeAspect="1"/>
                          </pic:cNvPicPr>
                        </pic:nvPicPr>
                        <pic:blipFill>
                          <a:blip r:embed="rId39"/>
                          <a:stretch>
                            <a:fillRect/>
                          </a:stretch>
                        </pic:blipFill>
                        <pic:spPr>
                          <a:xfrm>
                            <a:off x="0" y="0"/>
                            <a:ext cx="2495591" cy="2352662"/>
                          </a:xfrm>
                          <a:prstGeom prst="rect">
                            <a:avLst/>
                          </a:prstGeom>
                          <a:noFill/>
                          <a:ln w="9525" cap="flat" cmpd="sng">
                            <a:noFill/>
                            <a:prstDash val="solid"/>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755" w:type="dxa"/>
            <w:gridSpan w:val="2"/>
            <w:tcBorders>
              <w:tl2br w:val="nil"/>
              <w:tr2bl w:val="nil"/>
            </w:tcBorders>
          </w:tcPr>
          <w:p>
            <w:pPr>
              <w:pStyle w:val="67"/>
              <w:jc w:val="center"/>
            </w:pPr>
            <w:r>
              <w:rPr>
                <w:rFonts w:hint="eastAsia"/>
              </w:rPr>
              <w:t>雨水检查井</w:t>
            </w:r>
          </w:p>
        </w:tc>
      </w:tr>
    </w:tbl>
    <w:p>
      <w:pPr>
        <w:ind w:firstLine="480"/>
        <w:jc w:val="center"/>
      </w:pPr>
    </w:p>
    <w:p>
      <w:pPr>
        <w:pStyle w:val="6"/>
        <w:spacing w:before="156"/>
        <w:ind w:firstLine="480"/>
      </w:pPr>
      <w:r>
        <w:rPr>
          <w:rFonts w:hint="eastAsia"/>
        </w:rPr>
        <w:t>4.2.2.2植物措施质量评定</w:t>
      </w:r>
    </w:p>
    <w:p>
      <w:pPr>
        <w:numPr>
          <w:ilvl w:val="0"/>
          <w:numId w:val="2"/>
        </w:numPr>
        <w:ind w:firstLineChars="0"/>
      </w:pPr>
      <w:r>
        <w:t>竣工资料检查情况</w:t>
      </w:r>
    </w:p>
    <w:p>
      <w:pPr>
        <w:ind w:firstLine="480"/>
      </w:pPr>
      <w:r>
        <w:rPr>
          <w:rFonts w:hint="eastAsia"/>
        </w:rPr>
        <w:t>我单位人员在建设单位配合下，开了项目资料内业检查工作，听取建设单位对工程水土保持设施建设的情况介绍后，检查了绿化工程完成验收资料数据，包括建立数据、报告、质量凭借评定数据、完成工程量及相应的工程投资等；查阅了相关施工合同、工程设计，特别是对质量评定数据做了详细的查看。</w:t>
      </w:r>
    </w:p>
    <w:p>
      <w:pPr>
        <w:ind w:firstLine="480"/>
      </w:pPr>
      <w:r>
        <w:t>经核查，工程施工材料总体满足设计及合同要求，各项防护措施的实施时间、进度、安排、施工工艺等基本按照设计进行实施，混凝土强度、砂浆标号、砌石质量总体复核设计要求。</w:t>
      </w:r>
    </w:p>
    <w:p>
      <w:pPr>
        <w:numPr>
          <w:ilvl w:val="0"/>
          <w:numId w:val="2"/>
        </w:numPr>
        <w:ind w:firstLine="480"/>
      </w:pPr>
      <w:r>
        <w:rPr>
          <w:rFonts w:hint="eastAsia"/>
        </w:rPr>
        <w:t>植物措施检查结果</w:t>
      </w:r>
    </w:p>
    <w:p>
      <w:pPr>
        <w:ind w:firstLine="480"/>
      </w:pPr>
      <w:r>
        <w:t>对施工生产生活区所属的土地整治工程、植被建设工程全部进行了查勘，单位工程查勘比例100%，对</w:t>
      </w:r>
      <w:r>
        <w:rPr>
          <w:rFonts w:hint="eastAsia"/>
        </w:rPr>
        <w:t>单位工程</w:t>
      </w:r>
      <w:r>
        <w:t>所属的场地整治和点片状植被的全部进行了核查，分部工程抽查核实比例</w:t>
      </w:r>
      <w:r>
        <w:rPr>
          <w:rFonts w:hint="eastAsia"/>
        </w:rPr>
        <w:t>100</w:t>
      </w:r>
      <w:r>
        <w:t>%，抽查核实比例满足规范要求。</w:t>
      </w:r>
    </w:p>
    <w:p>
      <w:pPr>
        <w:ind w:firstLine="480"/>
      </w:pPr>
      <w:r>
        <w:t>现场核查结果显示，施工生产生活区的植物措施总体情况良好，植被覆盖度在70％以上，成活率在85%以上，保存率在80％以上，草地、林地核实面积比例分别达到30％和50％以上。经评定，施工生产生活区的植物措施总体情况良好，能有效防治水土流失，改善周边景观，促进生态环境友好，施工生产生活区的水土保持植物措施工程质量合格。料场区终采平台己栽植乔灌木、撒播灌草籽绿化，植物措施总体情况良好，植被覆盖率在80％以上，成活率在85％以上，保存率在75％以上，草地、林地核实面积比例分别达到90％和80％以上。经评定，料场区覆土厚度基本满足植物生长需要，植物措施情况基本良好，能有效防治水土流失，经过多次补植补种及加强植物管护后，成活率得到有效提高，料场区的水土保持植物措施质量合格。</w:t>
      </w:r>
    </w:p>
    <w:p>
      <w:pPr>
        <w:ind w:firstLine="442"/>
        <w:jc w:val="center"/>
        <w:rPr>
          <w:b/>
          <w:bCs/>
          <w:sz w:val="22"/>
          <w:szCs w:val="22"/>
        </w:rPr>
        <w:sectPr>
          <w:pgSz w:w="11906" w:h="16838"/>
          <w:pgMar w:top="1587" w:right="1587" w:bottom="1587" w:left="1587" w:header="567" w:footer="567" w:gutter="0"/>
          <w:cols w:space="720" w:num="1"/>
          <w:docGrid w:type="lines" w:linePitch="312" w:charSpace="0"/>
        </w:sectPr>
      </w:pPr>
    </w:p>
    <w:p>
      <w:pPr>
        <w:ind w:firstLine="442"/>
        <w:jc w:val="center"/>
        <w:rPr>
          <w:b/>
          <w:bCs/>
          <w:sz w:val="22"/>
          <w:szCs w:val="22"/>
        </w:rPr>
      </w:pPr>
      <w:r>
        <w:rPr>
          <w:rFonts w:hint="eastAsia"/>
          <w:b/>
          <w:bCs/>
          <w:sz w:val="22"/>
          <w:szCs w:val="22"/>
        </w:rPr>
        <w:t>表4-4 水土保持植物措施图</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4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Borders>
              <w:tl2br w:val="nil"/>
              <w:tr2bl w:val="nil"/>
            </w:tcBorders>
          </w:tcPr>
          <w:p>
            <w:pPr>
              <w:pStyle w:val="67"/>
            </w:pPr>
            <w:r>
              <w:drawing>
                <wp:inline distT="0" distB="0" distL="0" distR="0">
                  <wp:extent cx="2813050" cy="2082800"/>
                  <wp:effectExtent l="0" t="0" r="6350" b="0"/>
                  <wp:docPr id="6" name="图片 6" descr="IMG_20200422_1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422_110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13050" cy="2082800"/>
                          </a:xfrm>
                          <a:prstGeom prst="rect">
                            <a:avLst/>
                          </a:prstGeom>
                          <a:noFill/>
                          <a:ln>
                            <a:noFill/>
                          </a:ln>
                        </pic:spPr>
                      </pic:pic>
                    </a:graphicData>
                  </a:graphic>
                </wp:inline>
              </w:drawing>
            </w:r>
          </w:p>
        </w:tc>
        <w:tc>
          <w:tcPr>
            <w:tcW w:w="4440" w:type="dxa"/>
            <w:tcBorders>
              <w:tl2br w:val="nil"/>
              <w:tr2bl w:val="nil"/>
            </w:tcBorders>
          </w:tcPr>
          <w:p>
            <w:pPr>
              <w:pStyle w:val="67"/>
            </w:pPr>
            <w:r>
              <w:drawing>
                <wp:inline distT="0" distB="0" distL="0" distR="0">
                  <wp:extent cx="2751455" cy="2062480"/>
                  <wp:effectExtent l="0" t="0" r="0" b="0"/>
                  <wp:docPr id="2" name="图片 7" descr="IMG_20200422_11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0200422_110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51455" cy="2062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8" w:type="dxa"/>
            <w:tcBorders>
              <w:tl2br w:val="nil"/>
              <w:tr2bl w:val="nil"/>
            </w:tcBorders>
          </w:tcPr>
          <w:p>
            <w:pPr>
              <w:pStyle w:val="67"/>
            </w:pPr>
            <w:r>
              <w:rPr>
                <w:rFonts w:hint="eastAsia"/>
              </w:rPr>
              <w:drawing>
                <wp:inline distT="0" distB="0" distL="85090" distR="85090">
                  <wp:extent cx="2769870" cy="1876425"/>
                  <wp:effectExtent l="0" t="0" r="3810" b="13335"/>
                  <wp:docPr id="106" name="图片" descr="IMG_20200326_13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descr="IMG_20200326_133041"/>
                          <pic:cNvPicPr>
                            <a:picLocks noChangeAspect="1"/>
                          </pic:cNvPicPr>
                        </pic:nvPicPr>
                        <pic:blipFill>
                          <a:blip r:embed="rId42"/>
                          <a:stretch>
                            <a:fillRect/>
                          </a:stretch>
                        </pic:blipFill>
                        <pic:spPr>
                          <a:xfrm>
                            <a:off x="0" y="0"/>
                            <a:ext cx="2770362" cy="1876425"/>
                          </a:xfrm>
                          <a:prstGeom prst="rect">
                            <a:avLst/>
                          </a:prstGeom>
                          <a:noFill/>
                          <a:ln w="9525" cap="flat" cmpd="sng">
                            <a:noFill/>
                            <a:prstDash val="solid"/>
                            <a:miter/>
                          </a:ln>
                        </pic:spPr>
                      </pic:pic>
                    </a:graphicData>
                  </a:graphic>
                </wp:inline>
              </w:drawing>
            </w:r>
          </w:p>
        </w:tc>
        <w:tc>
          <w:tcPr>
            <w:tcW w:w="4440" w:type="dxa"/>
            <w:tcBorders>
              <w:tl2br w:val="nil"/>
              <w:tr2bl w:val="nil"/>
            </w:tcBorders>
          </w:tcPr>
          <w:p>
            <w:pPr>
              <w:pStyle w:val="67"/>
            </w:pPr>
            <w:r>
              <w:rPr>
                <w:rFonts w:ascii="Times New Roman" w:eastAsia="宋体"/>
                <w:color w:val="000000"/>
                <w:spacing w:val="4"/>
                <w:sz w:val="24"/>
                <w:szCs w:val="24"/>
              </w:rPr>
              <w:drawing>
                <wp:inline distT="0" distB="0" distL="0" distR="0">
                  <wp:extent cx="2734945" cy="1894205"/>
                  <wp:effectExtent l="0" t="0" r="8255" b="0"/>
                  <wp:docPr id="8" name="图片 8" descr="IMG_20200326_13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326_1326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734945" cy="1894205"/>
                          </a:xfrm>
                          <a:prstGeom prst="rect">
                            <a:avLst/>
                          </a:prstGeom>
                          <a:noFill/>
                          <a:ln>
                            <a:noFill/>
                          </a:ln>
                        </pic:spPr>
                      </pic:pic>
                    </a:graphicData>
                  </a:graphic>
                </wp:inline>
              </w:drawing>
            </w:r>
          </w:p>
        </w:tc>
      </w:tr>
    </w:tbl>
    <w:p>
      <w:pPr>
        <w:ind w:firstLine="442"/>
        <w:jc w:val="center"/>
        <w:rPr>
          <w:b/>
          <w:bCs/>
          <w:sz w:val="22"/>
          <w:szCs w:val="22"/>
        </w:rPr>
      </w:pPr>
    </w:p>
    <w:p>
      <w:pPr>
        <w:pStyle w:val="4"/>
        <w:ind w:firstLine="562"/>
        <w:rPr>
          <w:highlight w:val="none"/>
        </w:rPr>
      </w:pPr>
      <w:bookmarkStart w:id="107" w:name="_Toc19452"/>
      <w:r>
        <w:t>4.3 总</w:t>
      </w:r>
      <w:r>
        <w:rPr>
          <w:highlight w:val="none"/>
        </w:rPr>
        <w:t>体质量评价</w:t>
      </w:r>
      <w:bookmarkEnd w:id="107"/>
    </w:p>
    <w:p>
      <w:pPr>
        <w:ind w:firstLine="480"/>
      </w:pPr>
      <w:r>
        <w:t>本项目水土保持方案实施情况总体良好，防治措施落实到位，项目建设过程中基本未对周边环境造成影响。项目建成后水土流失六项防治指标达到防治目标要求，水土保持设施运行正常、工程质量总体合格。</w:t>
      </w:r>
    </w:p>
    <w:p>
      <w:pPr>
        <w:ind w:firstLine="480"/>
      </w:pPr>
      <w:r>
        <w:t>验收组查阅了施工管理制度、工程质量检验和质量评定记录。水土保持工程措施在施工过程中全面实行了项目法人责任制、招标制和工程监理制，建立健全了“项目法人负责，监理单位控制，承包商保证，政府监督”的质量保证体系。水土保持工程的建设和管理亦纳入了整个工程的建设管理体系中。工程质量检验资料齐全，程序完善，均有施工、监理、业主单位的签章，符合质量管理的要求。此外，又对各防治分区的排水沟和土地整治等措施进行了现场检查，认为以上各项工程措施布局合理、结构稳定、功能正常，基本无损坏。</w:t>
      </w:r>
    </w:p>
    <w:p>
      <w:pPr>
        <w:ind w:firstLine="480"/>
      </w:pPr>
      <w:r>
        <w:t>通过对现场查勘，施工管理制度、工程质量检验、质量评定记录的检查后认为：本工程水土保持单位工程、分部工程、单元工程的质量检验和评定程序规范，资料比较翔实，成果可靠。混凝土表面光滑，结构合理，工程质量合格；绿化表面基本平整，达到了绿化的规范要求，水土保持植物措施实施得当，植物品种选择合理、适宜性好，管理措施得力，覆盖率较高，起到了较好的水土保持效果。根据《开发建设项目水土保持设施验收管理办法》的要求，本项目水土保持设施具备竣工验收条件。</w:t>
      </w:r>
    </w:p>
    <w:p>
      <w:pPr>
        <w:ind w:firstLine="480"/>
      </w:pPr>
    </w:p>
    <w:p>
      <w:pPr>
        <w:ind w:firstLine="480"/>
        <w:sectPr>
          <w:pgSz w:w="11906" w:h="16838"/>
          <w:pgMar w:top="1587" w:right="1587" w:bottom="1587" w:left="1587" w:header="567" w:footer="567" w:gutter="0"/>
          <w:cols w:space="720" w:num="1"/>
          <w:docGrid w:type="lines" w:linePitch="312" w:charSpace="0"/>
        </w:sectPr>
      </w:pPr>
    </w:p>
    <w:p>
      <w:pPr>
        <w:pStyle w:val="3"/>
        <w:spacing w:line="240" w:lineRule="auto"/>
        <w:ind w:firstLine="0" w:firstLineChars="0"/>
        <w:jc w:val="center"/>
      </w:pPr>
      <w:bookmarkStart w:id="108" w:name="_Toc5428"/>
      <w:r>
        <w:t>5工程初期运行及水土保持效果</w:t>
      </w:r>
      <w:bookmarkEnd w:id="108"/>
    </w:p>
    <w:p>
      <w:pPr>
        <w:pStyle w:val="4"/>
        <w:ind w:firstLine="562"/>
      </w:pPr>
      <w:bookmarkStart w:id="109" w:name="_Toc29722"/>
      <w:r>
        <w:t xml:space="preserve">5.1 </w:t>
      </w:r>
      <w:r>
        <w:rPr>
          <w:rFonts w:hint="eastAsia"/>
        </w:rPr>
        <w:t>初期</w:t>
      </w:r>
      <w:r>
        <w:t>运行情况</w:t>
      </w:r>
      <w:bookmarkEnd w:id="109"/>
    </w:p>
    <w:p>
      <w:pPr>
        <w:ind w:firstLine="480"/>
        <w:rPr>
          <w:rFonts w:cs="仿宋"/>
        </w:rPr>
      </w:pPr>
      <w:r>
        <w:rPr>
          <w:rFonts w:hint="eastAsia" w:cs="仿宋"/>
        </w:rPr>
        <w:t>本项目水土保持措施已全部完工，证明水土保持工程措施质量很好，运行正常，未出现安全稳定问题，工程维护及时到位，效果显著。植物养护措施由我公司的绿化部门完成，从已验收的分部工程来看，成活率、保存率、补植情况达到有关技术规范的要求。</w:t>
      </w:r>
    </w:p>
    <w:p>
      <w:pPr>
        <w:ind w:firstLine="480"/>
        <w:rPr>
          <w:rFonts w:cs="仿宋"/>
        </w:rPr>
      </w:pPr>
      <w:r>
        <w:rPr>
          <w:rFonts w:hint="eastAsia" w:cs="仿宋"/>
        </w:rPr>
        <w:t>本项目水土保持设施与主体工程统一管护，已纳入项目建设管理规程，建立了“政府监督、社会监理、企业自检”三级质量保证体系，并落实了工程质量责任终身制。工程建设期间，建设单位专门成立了项目水土保持管理组，专门负责项目水保设施的监督、管护，并随时接受水土保持有关部门的监督检查。在雨季，注意认真做好汛期的水土保持工作，一旦发现问题将及时处理，确保了水土保持设施持续、稳定、安全、有效运行。</w:t>
      </w:r>
    </w:p>
    <w:p>
      <w:pPr>
        <w:pStyle w:val="4"/>
        <w:ind w:firstLine="562"/>
      </w:pPr>
      <w:bookmarkStart w:id="110" w:name="_Toc4459"/>
      <w:r>
        <w:t>5.2 水土保持效果</w:t>
      </w:r>
      <w:bookmarkEnd w:id="110"/>
    </w:p>
    <w:p>
      <w:pPr>
        <w:pStyle w:val="5"/>
        <w:ind w:firstLine="562"/>
      </w:pPr>
      <w:bookmarkStart w:id="111" w:name="_Toc529801420"/>
      <w:bookmarkStart w:id="112" w:name="_Toc529379733"/>
      <w:bookmarkStart w:id="113" w:name="_Toc25411"/>
      <w:r>
        <w:t>5.2.1水土流失治理</w:t>
      </w:r>
      <w:bookmarkEnd w:id="111"/>
      <w:bookmarkEnd w:id="112"/>
      <w:bookmarkEnd w:id="113"/>
    </w:p>
    <w:p>
      <w:pPr>
        <w:ind w:firstLine="480"/>
        <w:rPr>
          <w:rFonts w:cs="仿宋"/>
        </w:rPr>
      </w:pPr>
      <w:r>
        <w:rPr>
          <w:rFonts w:hint="eastAsia" w:cs="仿宋"/>
        </w:rPr>
        <w:t>通过业内分析与整理，扰动土地整治率、水土流失总治理度、土壤流失控制比、拦渣率、林草植被恢复率、林草覆盖率6项指标均达到方案确定的目标值，达到了方案预防和治理水土流失的效果。</w:t>
      </w:r>
    </w:p>
    <w:p>
      <w:pPr>
        <w:ind w:firstLine="480"/>
        <w:rPr>
          <w:rFonts w:cs="仿宋"/>
        </w:rPr>
      </w:pPr>
      <w:bookmarkStart w:id="114" w:name="_Toc365261331"/>
      <w:r>
        <w:rPr>
          <w:rFonts w:hint="eastAsia" w:cs="仿宋"/>
        </w:rPr>
        <w:t>（1）扰动土地整治率</w:t>
      </w:r>
      <w:bookmarkEnd w:id="114"/>
    </w:p>
    <w:p>
      <w:pPr>
        <w:ind w:firstLine="480"/>
        <w:rPr>
          <w:rFonts w:cs="仿宋"/>
        </w:rPr>
      </w:pPr>
      <w:r>
        <w:rPr>
          <w:rFonts w:hint="eastAsia" w:cs="仿宋"/>
          <w:lang w:val="zh-CN"/>
        </w:rPr>
        <w:t>本工程扰动土地面积</w:t>
      </w:r>
      <w:r>
        <w:rPr>
          <w:rFonts w:hint="eastAsia" w:cs="仿宋"/>
        </w:rPr>
        <w:t>18.60</w:t>
      </w:r>
      <w:r>
        <w:rPr>
          <w:rFonts w:hint="eastAsia" w:cs="仿宋"/>
          <w:lang w:val="zh-CN"/>
        </w:rPr>
        <w:t>hm²，实施水土保持措施面积为</w:t>
      </w:r>
      <w:r>
        <w:rPr>
          <w:rFonts w:hint="eastAsia" w:cs="仿宋"/>
        </w:rPr>
        <w:t>18.15</w:t>
      </w:r>
      <w:r>
        <w:rPr>
          <w:rFonts w:hint="eastAsia" w:cs="仿宋"/>
          <w:lang w:val="zh-CN"/>
        </w:rPr>
        <w:t>hm²，硬化地表及永久建筑物面积占地面积</w:t>
      </w:r>
      <w:r>
        <w:rPr>
          <w:rFonts w:hint="eastAsia" w:cs="仿宋"/>
        </w:rPr>
        <w:t>0.22</w:t>
      </w:r>
      <w:r>
        <w:rPr>
          <w:rFonts w:hint="eastAsia" w:cs="仿宋"/>
          <w:lang w:val="zh-CN"/>
        </w:rPr>
        <w:t>hm²，据此，计算得出项目区扰动土地整治率为</w:t>
      </w:r>
      <w:r>
        <w:rPr>
          <w:rFonts w:hint="eastAsia" w:cs="仿宋"/>
        </w:rPr>
        <w:t>98.78</w:t>
      </w:r>
      <w:r>
        <w:rPr>
          <w:rFonts w:hint="eastAsia" w:cs="仿宋"/>
          <w:lang w:val="zh-CN"/>
        </w:rPr>
        <w:t>%。</w:t>
      </w:r>
      <w:r>
        <w:rPr>
          <w:rFonts w:hint="eastAsia" w:cs="仿宋"/>
        </w:rPr>
        <w:t>工程扰动土地整治率见表5-1。</w:t>
      </w:r>
    </w:p>
    <w:p>
      <w:pPr>
        <w:ind w:firstLine="482"/>
        <w:jc w:val="center"/>
        <w:rPr>
          <w:rFonts w:cs="仿宋"/>
          <w:b/>
          <w:bCs/>
        </w:rPr>
      </w:pPr>
      <w:r>
        <w:rPr>
          <w:rFonts w:hint="eastAsia" w:cs="仿宋"/>
          <w:b/>
          <w:bCs/>
        </w:rPr>
        <w:t>表5-1 扰动土地整治率</w:t>
      </w:r>
    </w:p>
    <w:tbl>
      <w:tblPr>
        <w:tblStyle w:val="23"/>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1473"/>
        <w:gridCol w:w="1686"/>
        <w:gridCol w:w="2017"/>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9" w:type="dxa"/>
            <w:tcBorders>
              <w:tl2br w:val="nil"/>
              <w:tr2bl w:val="nil"/>
            </w:tcBorders>
            <w:vAlign w:val="center"/>
          </w:tcPr>
          <w:p>
            <w:pPr>
              <w:adjustRightInd w:val="0"/>
              <w:snapToGrid w:val="0"/>
              <w:spacing w:before="31" w:beforeLines="10" w:after="31" w:afterLines="10" w:line="240" w:lineRule="auto"/>
              <w:ind w:left="-9" w:leftChars="-30" w:right="-70" w:rightChars="-29" w:hanging="63" w:hangingChars="30"/>
              <w:jc w:val="center"/>
              <w:rPr>
                <w:rFonts w:eastAsia="仿宋_GB2312"/>
                <w:kern w:val="0"/>
                <w:sz w:val="21"/>
                <w:szCs w:val="32"/>
                <w:lang w:val="zh-CN"/>
              </w:rPr>
            </w:pPr>
            <w:r>
              <w:rPr>
                <w:rFonts w:hint="eastAsia" w:eastAsia="仿宋_GB2312"/>
                <w:kern w:val="0"/>
                <w:sz w:val="21"/>
                <w:szCs w:val="32"/>
                <w:lang w:val="zh-CN"/>
              </w:rPr>
              <w:t>项目</w:t>
            </w:r>
          </w:p>
        </w:tc>
        <w:tc>
          <w:tcPr>
            <w:tcW w:w="1473" w:type="dxa"/>
            <w:tcBorders>
              <w:tl2br w:val="nil"/>
              <w:tr2bl w:val="nil"/>
            </w:tcBorders>
            <w:vAlign w:val="center"/>
          </w:tcPr>
          <w:p>
            <w:pPr>
              <w:adjustRightInd w:val="0"/>
              <w:snapToGrid w:val="0"/>
              <w:spacing w:before="31" w:beforeLines="10" w:after="31" w:afterLines="10" w:line="240" w:lineRule="auto"/>
              <w:ind w:left="-9" w:leftChars="-30" w:right="-70" w:rightChars="-29" w:hanging="63" w:hangingChars="30"/>
              <w:jc w:val="center"/>
              <w:rPr>
                <w:rFonts w:eastAsia="仿宋_GB2312"/>
                <w:kern w:val="0"/>
                <w:sz w:val="21"/>
                <w:szCs w:val="32"/>
                <w:lang w:val="zh-CN"/>
              </w:rPr>
            </w:pPr>
            <w:r>
              <w:rPr>
                <w:rFonts w:eastAsia="仿宋_GB2312"/>
                <w:kern w:val="0"/>
                <w:sz w:val="21"/>
                <w:szCs w:val="32"/>
                <w:lang w:val="zh-CN"/>
              </w:rPr>
              <w:t>扰动土地面积（hm²）</w:t>
            </w:r>
          </w:p>
        </w:tc>
        <w:tc>
          <w:tcPr>
            <w:tcW w:w="1686" w:type="dxa"/>
            <w:tcBorders>
              <w:tl2br w:val="nil"/>
              <w:tr2bl w:val="nil"/>
            </w:tcBorders>
            <w:vAlign w:val="center"/>
          </w:tcPr>
          <w:p>
            <w:pPr>
              <w:adjustRightInd w:val="0"/>
              <w:snapToGrid w:val="0"/>
              <w:spacing w:before="31" w:beforeLines="10" w:after="31" w:afterLines="10" w:line="240" w:lineRule="auto"/>
              <w:ind w:left="-9" w:leftChars="-30" w:right="-70" w:rightChars="-29" w:hanging="63" w:hangingChars="30"/>
              <w:jc w:val="center"/>
              <w:rPr>
                <w:rFonts w:eastAsia="仿宋_GB2312"/>
                <w:kern w:val="0"/>
                <w:sz w:val="21"/>
                <w:szCs w:val="32"/>
                <w:lang w:val="zh-CN"/>
              </w:rPr>
            </w:pPr>
            <w:r>
              <w:rPr>
                <w:rFonts w:eastAsia="仿宋_GB2312"/>
                <w:kern w:val="0"/>
                <w:sz w:val="21"/>
                <w:szCs w:val="32"/>
                <w:lang w:val="zh-CN"/>
              </w:rPr>
              <w:t>水土保持措施面积（hm²）</w:t>
            </w:r>
          </w:p>
        </w:tc>
        <w:tc>
          <w:tcPr>
            <w:tcW w:w="2017" w:type="dxa"/>
            <w:tcBorders>
              <w:tl2br w:val="nil"/>
              <w:tr2bl w:val="nil"/>
            </w:tcBorders>
            <w:vAlign w:val="center"/>
          </w:tcPr>
          <w:p>
            <w:pPr>
              <w:adjustRightInd w:val="0"/>
              <w:snapToGrid w:val="0"/>
              <w:spacing w:before="31" w:beforeLines="10" w:after="31" w:afterLines="10" w:line="240" w:lineRule="auto"/>
              <w:ind w:left="-9" w:leftChars="-30" w:right="-70" w:rightChars="-29" w:hanging="63" w:hangingChars="30"/>
              <w:jc w:val="center"/>
              <w:rPr>
                <w:rFonts w:eastAsia="仿宋_GB2312"/>
                <w:kern w:val="0"/>
                <w:sz w:val="21"/>
                <w:szCs w:val="32"/>
                <w:lang w:val="zh-CN"/>
              </w:rPr>
            </w:pPr>
            <w:r>
              <w:rPr>
                <w:rFonts w:eastAsia="仿宋_GB2312"/>
                <w:kern w:val="0"/>
                <w:sz w:val="21"/>
                <w:szCs w:val="32"/>
                <w:lang w:val="zh-CN"/>
              </w:rPr>
              <w:t>建筑物占压或硬化面积（hm²）</w:t>
            </w:r>
          </w:p>
        </w:tc>
        <w:tc>
          <w:tcPr>
            <w:tcW w:w="1491" w:type="dxa"/>
            <w:tcBorders>
              <w:tl2br w:val="nil"/>
              <w:tr2bl w:val="nil"/>
            </w:tcBorders>
            <w:vAlign w:val="center"/>
          </w:tcPr>
          <w:p>
            <w:pPr>
              <w:adjustRightInd w:val="0"/>
              <w:snapToGrid w:val="0"/>
              <w:spacing w:before="31" w:beforeLines="10" w:after="31" w:afterLines="10" w:line="240" w:lineRule="auto"/>
              <w:ind w:left="-9" w:leftChars="-30" w:right="-70" w:rightChars="-29" w:hanging="63" w:hangingChars="30"/>
              <w:jc w:val="center"/>
              <w:rPr>
                <w:rFonts w:eastAsia="仿宋_GB2312"/>
                <w:kern w:val="0"/>
                <w:sz w:val="21"/>
                <w:szCs w:val="32"/>
                <w:lang w:val="zh-CN"/>
              </w:rPr>
            </w:pPr>
            <w:r>
              <w:rPr>
                <w:rFonts w:eastAsia="仿宋_GB2312"/>
                <w:kern w:val="0"/>
                <w:sz w:val="21"/>
                <w:szCs w:val="32"/>
                <w:lang w:val="zh-CN"/>
              </w:rPr>
              <w:t>扰动土地整治率</w:t>
            </w:r>
            <w:r>
              <w:rPr>
                <w:rFonts w:hint="eastAsia" w:eastAsia="仿宋_GB2312"/>
                <w:kern w:val="0"/>
                <w:sz w:val="21"/>
                <w:szCs w:val="32"/>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9" w:type="dxa"/>
            <w:tcBorders>
              <w:tl2br w:val="nil"/>
              <w:tr2bl w:val="nil"/>
            </w:tcBorders>
            <w:vAlign w:val="center"/>
          </w:tcPr>
          <w:p>
            <w:pPr>
              <w:snapToGrid w:val="0"/>
              <w:spacing w:before="31" w:beforeLines="10" w:after="31" w:afterLines="10" w:line="240" w:lineRule="auto"/>
              <w:ind w:firstLine="0" w:firstLineChars="0"/>
              <w:jc w:val="center"/>
              <w:rPr>
                <w:rFonts w:eastAsia="仿宋_GB2312"/>
                <w:kern w:val="0"/>
                <w:sz w:val="21"/>
                <w:szCs w:val="32"/>
                <w:lang w:val="zh-CN"/>
              </w:rPr>
            </w:pPr>
            <w:r>
              <w:rPr>
                <w:rFonts w:hint="eastAsia" w:eastAsia="仿宋_GB2312"/>
                <w:kern w:val="0"/>
                <w:sz w:val="21"/>
                <w:szCs w:val="32"/>
                <w:lang w:val="zh-CN"/>
              </w:rPr>
              <w:t>数量</w:t>
            </w:r>
          </w:p>
        </w:tc>
        <w:tc>
          <w:tcPr>
            <w:tcW w:w="1473" w:type="dxa"/>
            <w:tcBorders>
              <w:tl2br w:val="nil"/>
              <w:tr2bl w:val="nil"/>
            </w:tcBorders>
            <w:vAlign w:val="center"/>
          </w:tcPr>
          <w:p>
            <w:pPr>
              <w:pStyle w:val="53"/>
            </w:pPr>
            <w:r>
              <w:rPr>
                <w:rFonts w:hint="eastAsia"/>
              </w:rPr>
              <w:t>18.60</w:t>
            </w:r>
          </w:p>
        </w:tc>
        <w:tc>
          <w:tcPr>
            <w:tcW w:w="1686" w:type="dxa"/>
            <w:tcBorders>
              <w:tl2br w:val="nil"/>
              <w:tr2bl w:val="nil"/>
            </w:tcBorders>
            <w:vAlign w:val="center"/>
          </w:tcPr>
          <w:p>
            <w:pPr>
              <w:pStyle w:val="53"/>
            </w:pPr>
            <w:r>
              <w:rPr>
                <w:rFonts w:hint="eastAsia"/>
              </w:rPr>
              <w:t>18.15</w:t>
            </w:r>
          </w:p>
        </w:tc>
        <w:tc>
          <w:tcPr>
            <w:tcW w:w="2017" w:type="dxa"/>
            <w:tcBorders>
              <w:tl2br w:val="nil"/>
              <w:tr2bl w:val="nil"/>
            </w:tcBorders>
            <w:vAlign w:val="center"/>
          </w:tcPr>
          <w:p>
            <w:pPr>
              <w:pStyle w:val="53"/>
            </w:pPr>
            <w:r>
              <w:rPr>
                <w:rFonts w:hint="eastAsia"/>
              </w:rPr>
              <w:t>0.22</w:t>
            </w:r>
          </w:p>
        </w:tc>
        <w:tc>
          <w:tcPr>
            <w:tcW w:w="1491" w:type="dxa"/>
            <w:tcBorders>
              <w:tl2br w:val="nil"/>
              <w:tr2bl w:val="nil"/>
            </w:tcBorders>
            <w:vAlign w:val="bottom"/>
          </w:tcPr>
          <w:p>
            <w:pPr>
              <w:pStyle w:val="53"/>
            </w:pPr>
            <w:r>
              <w:rPr>
                <w:rFonts w:hint="eastAsia"/>
              </w:rPr>
              <w:t>98.78</w:t>
            </w:r>
          </w:p>
        </w:tc>
      </w:tr>
    </w:tbl>
    <w:p>
      <w:pPr>
        <w:pStyle w:val="2"/>
        <w:ind w:firstLine="480"/>
        <w:sectPr>
          <w:headerReference r:id="rId15" w:type="default"/>
          <w:pgSz w:w="11906" w:h="16838"/>
          <w:pgMar w:top="1587" w:right="1587" w:bottom="1587" w:left="1587" w:header="567" w:footer="567" w:gutter="0"/>
          <w:cols w:space="720" w:num="1"/>
          <w:docGrid w:type="lines" w:linePitch="312" w:charSpace="0"/>
        </w:sectPr>
      </w:pPr>
    </w:p>
    <w:p>
      <w:pPr>
        <w:ind w:firstLine="480"/>
        <w:rPr>
          <w:rFonts w:cs="仿宋"/>
        </w:rPr>
      </w:pPr>
      <w:r>
        <w:rPr>
          <w:rFonts w:hint="eastAsia" w:cs="仿宋"/>
        </w:rPr>
        <w:t>（2）水土流失总治理度</w:t>
      </w:r>
    </w:p>
    <w:p>
      <w:pPr>
        <w:ind w:firstLine="480"/>
        <w:rPr>
          <w:rFonts w:cs="仿宋"/>
          <w:lang w:val="zh-CN"/>
        </w:rPr>
      </w:pPr>
      <w:r>
        <w:rPr>
          <w:rFonts w:hint="eastAsia" w:cs="仿宋"/>
          <w:lang w:val="zh-CN"/>
        </w:rPr>
        <w:t>水土流失总治理度为水土流失治理达标面积占水土流失总面积的百分比。其中，水土流失治理达标面积为水土保持措施面积与建筑物占压或硬化面积和直接影响区治理达标的面积之和。</w:t>
      </w:r>
    </w:p>
    <w:p>
      <w:pPr>
        <w:ind w:firstLine="480"/>
        <w:rPr>
          <w:rFonts w:cs="仿宋"/>
        </w:rPr>
      </w:pPr>
      <w:r>
        <w:rPr>
          <w:lang w:val="zh-CN"/>
        </w:rPr>
        <w:t>本工程建设产生水土流失面积</w:t>
      </w:r>
      <w:r>
        <w:rPr>
          <w:rFonts w:hint="eastAsia"/>
        </w:rPr>
        <w:t>18.60</w:t>
      </w:r>
      <w:r>
        <w:rPr>
          <w:lang w:val="zh-CN"/>
        </w:rPr>
        <w:t>hm²，水土流失治理达标面积为</w:t>
      </w:r>
      <w:r>
        <w:rPr>
          <w:rFonts w:hint="eastAsia"/>
        </w:rPr>
        <w:t xml:space="preserve">18.15 </w:t>
      </w:r>
      <w:r>
        <w:rPr>
          <w:lang w:val="zh-CN"/>
        </w:rPr>
        <w:t>hm²，水土流失总治理度为</w:t>
      </w:r>
      <w:r>
        <w:rPr>
          <w:rFonts w:hint="eastAsia"/>
        </w:rPr>
        <w:t>97.58</w:t>
      </w:r>
      <w:r>
        <w:rPr>
          <w:lang w:val="zh-CN"/>
        </w:rPr>
        <w:t>%。</w:t>
      </w:r>
    </w:p>
    <w:p>
      <w:pPr>
        <w:ind w:firstLine="480"/>
        <w:rPr>
          <w:rFonts w:cs="仿宋"/>
        </w:rPr>
      </w:pPr>
      <w:bookmarkStart w:id="115" w:name="_Toc365261333"/>
      <w:r>
        <w:rPr>
          <w:rFonts w:hint="eastAsia" w:cs="仿宋"/>
        </w:rPr>
        <w:t>（3）拦渣率</w:t>
      </w:r>
      <w:bookmarkEnd w:id="115"/>
    </w:p>
    <w:p>
      <w:pPr>
        <w:adjustRightInd w:val="0"/>
        <w:ind w:firstLine="480"/>
        <w:rPr>
          <w:lang w:val="zh-CN"/>
        </w:rPr>
      </w:pPr>
      <w:bookmarkStart w:id="116" w:name="_Toc365261334"/>
      <w:r>
        <w:rPr>
          <w:lang w:val="zh-CN"/>
        </w:rPr>
        <w:t>拦渣率指采取措施实际拦挡的弃土（渣）与工程弃土（渣）总量的百分比。</w:t>
      </w:r>
    </w:p>
    <w:p>
      <w:pPr>
        <w:ind w:firstLine="480"/>
        <w:rPr>
          <w:lang w:val="zh-CN"/>
        </w:rPr>
      </w:pPr>
      <w:r>
        <w:rPr>
          <w:lang w:val="zh-CN"/>
        </w:rPr>
        <w:t>本工程</w:t>
      </w:r>
      <w:r>
        <w:rPr>
          <w:rFonts w:hint="eastAsia"/>
          <w:lang w:val="zh-CN"/>
        </w:rPr>
        <w:t>无弃土（渣）场，永久弃渣</w:t>
      </w:r>
      <w:r>
        <w:rPr>
          <w:rFonts w:hint="eastAsia"/>
        </w:rPr>
        <w:t>73.51万</w:t>
      </w:r>
      <w:r>
        <w:rPr>
          <w:rFonts w:hint="eastAsia"/>
          <w:lang w:val="zh-CN"/>
        </w:rPr>
        <w:t>m</w:t>
      </w:r>
      <w:r>
        <w:rPr>
          <w:lang w:val="zh-CN"/>
        </w:rPr>
        <w:t>³</w:t>
      </w:r>
      <w:r>
        <w:rPr>
          <w:rFonts w:hint="eastAsia"/>
          <w:lang w:val="zh-CN"/>
        </w:rPr>
        <w:t>，</w:t>
      </w:r>
      <w:r>
        <w:rPr>
          <w:rFonts w:hint="eastAsia"/>
        </w:rPr>
        <w:t>实际拦挡弃渣量为70.63万m³，</w:t>
      </w:r>
      <w:r>
        <w:rPr>
          <w:rFonts w:hint="eastAsia"/>
          <w:lang w:val="zh-CN"/>
        </w:rPr>
        <w:t>以平均容重1</w:t>
      </w:r>
      <w:r>
        <w:rPr>
          <w:rFonts w:hint="eastAsia"/>
        </w:rPr>
        <w:t>.32</w:t>
      </w:r>
      <w:r>
        <w:rPr>
          <w:lang w:val="zh-CN"/>
        </w:rPr>
        <w:t>t/m³</w:t>
      </w:r>
      <w:r>
        <w:rPr>
          <w:rFonts w:hint="eastAsia"/>
          <w:lang w:val="zh-CN"/>
        </w:rPr>
        <w:t>计算，其拦渣率为</w:t>
      </w:r>
      <w:r>
        <w:rPr>
          <w:rFonts w:hint="eastAsia"/>
        </w:rPr>
        <w:t>96.08</w:t>
      </w:r>
      <w:r>
        <w:rPr>
          <w:rFonts w:hint="eastAsia"/>
          <w:lang w:val="zh-CN"/>
        </w:rPr>
        <w:t>%。</w:t>
      </w:r>
    </w:p>
    <w:p>
      <w:pPr>
        <w:ind w:firstLine="480"/>
      </w:pPr>
      <w:r>
        <w:t>（4）土壤流失控制比</w:t>
      </w:r>
      <w:bookmarkEnd w:id="116"/>
    </w:p>
    <w:p>
      <w:pPr>
        <w:ind w:firstLine="480"/>
        <w:rPr>
          <w:lang w:val="zh-CN"/>
        </w:rPr>
      </w:pPr>
      <w:r>
        <w:rPr>
          <w:lang w:val="zh-CN"/>
        </w:rPr>
        <w:t>土壤流失控制比指容许土壤流失量与治理后的平均土壤流失强度之比。</w:t>
      </w:r>
    </w:p>
    <w:p>
      <w:pPr>
        <w:ind w:firstLine="480"/>
        <w:rPr>
          <w:lang w:val="zh-CN"/>
        </w:rPr>
      </w:pPr>
      <w:r>
        <w:rPr>
          <w:rFonts w:hint="eastAsia"/>
          <w:lang w:val="zh-CN"/>
        </w:rPr>
        <w:t>水土保持方案中规定</w:t>
      </w:r>
      <w:r>
        <w:rPr>
          <w:lang w:val="zh-CN"/>
        </w:rPr>
        <w:t>容许土壤流失量</w:t>
      </w:r>
      <w:r>
        <w:rPr>
          <w:rFonts w:hint="eastAsia"/>
          <w:lang w:val="zh-CN"/>
        </w:rPr>
        <w:t>5</w:t>
      </w:r>
      <w:r>
        <w:rPr>
          <w:lang w:val="zh-CN"/>
        </w:rPr>
        <w:t>00 t/</w:t>
      </w:r>
      <w:r>
        <w:rPr>
          <w:rFonts w:hint="eastAsia"/>
        </w:rPr>
        <w:t>(</w:t>
      </w:r>
      <w:r>
        <w:t>km²•a)</w:t>
      </w:r>
      <w:r>
        <w:rPr>
          <w:lang w:val="zh-CN"/>
        </w:rPr>
        <w:t>。本工程治理后，以</w:t>
      </w:r>
      <w:r>
        <w:rPr>
          <w:rFonts w:hint="eastAsia"/>
          <w:lang w:val="zh-CN"/>
        </w:rPr>
        <w:t>自然恢复</w:t>
      </w:r>
      <w:r>
        <w:rPr>
          <w:lang w:val="zh-CN"/>
        </w:rPr>
        <w:t>期水土流失量最大极值0.08t作为水土保持验收合格评价指标</w:t>
      </w:r>
      <w:r>
        <w:rPr>
          <w:rFonts w:hint="eastAsia"/>
          <w:lang w:val="zh-CN"/>
        </w:rPr>
        <w:t>，</w:t>
      </w:r>
      <w:r>
        <w:rPr>
          <w:lang w:val="zh-CN"/>
        </w:rPr>
        <w:t>计算出对应土壤侵蚀模数为</w:t>
      </w:r>
      <w:r>
        <w:rPr>
          <w:rFonts w:hint="eastAsia"/>
        </w:rPr>
        <w:t>400</w:t>
      </w:r>
      <w:r>
        <w:rPr>
          <w:lang w:val="zh-CN"/>
        </w:rPr>
        <w:t>t/</w:t>
      </w:r>
      <w:r>
        <w:rPr>
          <w:rFonts w:hint="eastAsia"/>
        </w:rPr>
        <w:t>(</w:t>
      </w:r>
      <w:r>
        <w:t>km²•a)</w:t>
      </w:r>
      <w:r>
        <w:rPr>
          <w:lang w:val="zh-CN"/>
        </w:rPr>
        <w:t>，对应土壤流失控制比为</w:t>
      </w:r>
      <w:r>
        <w:rPr>
          <w:rFonts w:hint="eastAsia"/>
        </w:rPr>
        <w:t>1.3</w:t>
      </w:r>
      <w:r>
        <w:rPr>
          <w:lang w:val="zh-CN"/>
        </w:rPr>
        <w:t>。</w:t>
      </w:r>
    </w:p>
    <w:p>
      <w:pPr>
        <w:ind w:firstLine="480"/>
      </w:pPr>
      <w:r>
        <w:rPr>
          <w:rFonts w:hint="eastAsia"/>
        </w:rPr>
        <w:t>（5）林草植被恢复率</w:t>
      </w:r>
    </w:p>
    <w:p>
      <w:pPr>
        <w:ind w:firstLine="480"/>
        <w:rPr>
          <w:lang w:val="zh-CN"/>
        </w:rPr>
      </w:pPr>
      <w:r>
        <w:rPr>
          <w:rFonts w:hint="eastAsia"/>
          <w:lang w:val="zh-CN"/>
        </w:rPr>
        <w:t>林草植被恢复率指林草类植被面积占可恢复林草植被面积的百分比。</w:t>
      </w:r>
    </w:p>
    <w:p>
      <w:pPr>
        <w:ind w:firstLine="480"/>
        <w:rPr>
          <w:lang w:val="zh-CN"/>
        </w:rPr>
      </w:pPr>
      <w:r>
        <w:rPr>
          <w:lang w:val="zh-CN"/>
        </w:rPr>
        <w:t>由植物措施监测结果可知，已恢复植被面积</w:t>
      </w:r>
      <w:r>
        <w:rPr>
          <w:rFonts w:hint="eastAsia"/>
        </w:rPr>
        <w:t>6.58</w:t>
      </w:r>
      <w:r>
        <w:rPr>
          <w:lang w:val="zh-CN"/>
        </w:rPr>
        <w:t>hm²，可恢复植被的面积为</w:t>
      </w:r>
      <w:r>
        <w:rPr>
          <w:rFonts w:hint="eastAsia"/>
        </w:rPr>
        <w:t>6.58</w:t>
      </w:r>
      <w:r>
        <w:rPr>
          <w:lang w:val="zh-CN"/>
        </w:rPr>
        <w:t>hm²，由此可得出本工程林草植被恢复率为</w:t>
      </w:r>
      <w:r>
        <w:rPr>
          <w:rFonts w:hint="eastAsia"/>
        </w:rPr>
        <w:t>100</w:t>
      </w:r>
      <w:r>
        <w:rPr>
          <w:lang w:val="zh-CN"/>
        </w:rPr>
        <w:t>%。</w:t>
      </w:r>
    </w:p>
    <w:p>
      <w:pPr>
        <w:ind w:firstLine="480"/>
      </w:pPr>
      <w:r>
        <w:rPr>
          <w:rFonts w:hint="eastAsia"/>
        </w:rPr>
        <w:t>（6）林草覆盖率</w:t>
      </w:r>
    </w:p>
    <w:p>
      <w:pPr>
        <w:ind w:firstLine="480"/>
        <w:rPr>
          <w:lang w:val="zh-CN"/>
        </w:rPr>
      </w:pPr>
      <w:r>
        <w:rPr>
          <w:lang w:val="zh-CN"/>
        </w:rPr>
        <w:t>林草覆盖率是指项目建设区内的林草面积占项目建设区面积的百分比。</w:t>
      </w:r>
    </w:p>
    <w:p>
      <w:pPr>
        <w:ind w:firstLine="480"/>
        <w:rPr>
          <w:lang w:val="zh-CN"/>
        </w:rPr>
      </w:pPr>
      <w:bookmarkStart w:id="117" w:name="_Toc529379734"/>
      <w:bookmarkStart w:id="118" w:name="_Toc529801421"/>
      <w:bookmarkStart w:id="119" w:name="_Toc7340"/>
      <w:r>
        <w:rPr>
          <w:lang w:val="zh-CN"/>
        </w:rPr>
        <w:t>根据上述监测结果，本项目绿化措施面积为</w:t>
      </w:r>
      <w:r>
        <w:rPr>
          <w:rFonts w:hint="eastAsia"/>
        </w:rPr>
        <w:t>6.58</w:t>
      </w:r>
      <w:r>
        <w:rPr>
          <w:lang w:val="zh-CN"/>
        </w:rPr>
        <w:t>hm²，项目建设区的面积为</w:t>
      </w:r>
      <w:r>
        <w:rPr>
          <w:rFonts w:hint="eastAsia"/>
        </w:rPr>
        <w:t>18.60</w:t>
      </w:r>
      <w:r>
        <w:rPr>
          <w:lang w:val="zh-CN"/>
        </w:rPr>
        <w:t>hm²，计算得出林草覆盖率为</w:t>
      </w:r>
      <w:r>
        <w:rPr>
          <w:rFonts w:hint="eastAsia"/>
        </w:rPr>
        <w:t>35.4</w:t>
      </w:r>
      <w:r>
        <w:rPr>
          <w:lang w:val="zh-CN"/>
        </w:rPr>
        <w:t>%</w:t>
      </w:r>
      <w:r>
        <w:rPr>
          <w:rFonts w:hint="eastAsia"/>
          <w:lang w:val="zh-CN"/>
        </w:rPr>
        <w:t>。</w:t>
      </w:r>
    </w:p>
    <w:p>
      <w:pPr>
        <w:pStyle w:val="5"/>
        <w:ind w:firstLine="562"/>
      </w:pPr>
      <w:r>
        <w:t>5.2.2生态环境和土地生产力恢复</w:t>
      </w:r>
      <w:bookmarkEnd w:id="117"/>
      <w:bookmarkEnd w:id="118"/>
      <w:bookmarkEnd w:id="119"/>
    </w:p>
    <w:p>
      <w:pPr>
        <w:pStyle w:val="50"/>
        <w:spacing w:line="360" w:lineRule="auto"/>
        <w:ind w:firstLine="480"/>
        <w:rPr>
          <w:rFonts w:ascii="Times New Roman" w:hAnsi="Times New Roman"/>
        </w:rPr>
      </w:pPr>
      <w:r>
        <w:rPr>
          <w:rFonts w:ascii="Times New Roman" w:hAnsi="Times New Roman"/>
        </w:rPr>
        <w:t>林草植被恢复率是指项目建设区内，林草类植被面积占可恢复林草植被（目前经济、技术条件下适宜于恢复林草植被）面积的百分比。可恢复植被面积是指在当前技术经济条件下，通过分析论证确定的可以采取植物措施的面积，不含国家规定应恢复农耕的面积，以批准的水土保持方案数据为准。</w:t>
      </w:r>
    </w:p>
    <w:p>
      <w:pPr>
        <w:ind w:firstLine="480"/>
      </w:pPr>
      <w:r>
        <w:t>林草覆盖率是指林草类植被面积占项目建设区面积的百分比。林草面积是指开发建设项目的项目建设区内所有人工和天然森林、灌木林和草地的面积。</w:t>
      </w:r>
    </w:p>
    <w:p>
      <w:pPr>
        <w:ind w:firstLine="480"/>
      </w:pPr>
      <w:r>
        <w:t>经我公司技术人员现场监测调查及核实相关数据，至监测期末，项目建设区面积为</w:t>
      </w:r>
      <w:r>
        <w:rPr>
          <w:rFonts w:hint="eastAsia"/>
        </w:rPr>
        <w:t>18.60hm</w:t>
      </w:r>
      <w:r>
        <w:rPr>
          <w:vertAlign w:val="superscript"/>
        </w:rPr>
        <w:t>2</w:t>
      </w:r>
      <w:r>
        <w:t>，可恢复林草植被面积为</w:t>
      </w:r>
      <w:r>
        <w:rPr>
          <w:rFonts w:hint="eastAsia"/>
        </w:rPr>
        <w:t>6.58hm</w:t>
      </w:r>
      <w:r>
        <w:rPr>
          <w:vertAlign w:val="superscript"/>
        </w:rPr>
        <w:t>2</w:t>
      </w:r>
      <w:r>
        <w:t>，林草植被总面积为</w:t>
      </w:r>
      <w:r>
        <w:rPr>
          <w:rFonts w:hint="eastAsia"/>
        </w:rPr>
        <w:t>6.58hm</w:t>
      </w:r>
      <w:r>
        <w:rPr>
          <w:vertAlign w:val="superscript"/>
        </w:rPr>
        <w:t>2</w:t>
      </w:r>
      <w:r>
        <w:t>，林草植被恢复率达</w:t>
      </w:r>
      <w:r>
        <w:rPr>
          <w:rFonts w:hint="eastAsia"/>
        </w:rPr>
        <w:t>100</w:t>
      </w:r>
      <w:r>
        <w:t>%，林草覆盖率为</w:t>
      </w:r>
      <w:r>
        <w:rPr>
          <w:rFonts w:hint="eastAsia"/>
        </w:rPr>
        <w:t>35.4%</w:t>
      </w:r>
      <w:r>
        <w:t>。</w:t>
      </w:r>
    </w:p>
    <w:p>
      <w:pPr>
        <w:pStyle w:val="4"/>
        <w:ind w:firstLine="562"/>
      </w:pPr>
      <w:bookmarkStart w:id="120" w:name="_Toc3676"/>
      <w:r>
        <w:t>5.</w:t>
      </w:r>
      <w:r>
        <w:rPr>
          <w:rFonts w:hint="eastAsia"/>
        </w:rPr>
        <w:t>3</w:t>
      </w:r>
      <w:r>
        <w:t>公众满意度调查</w:t>
      </w:r>
      <w:bookmarkEnd w:id="120"/>
    </w:p>
    <w:p>
      <w:pPr>
        <w:ind w:firstLine="480"/>
      </w:pPr>
      <w:r>
        <w:rPr>
          <w:rFonts w:hint="eastAsia"/>
        </w:rPr>
        <w:t>我公司</w:t>
      </w:r>
      <w:r>
        <w:t>在</w:t>
      </w:r>
      <w:r>
        <w:rPr>
          <w:rFonts w:hint="eastAsia"/>
        </w:rPr>
        <w:t>验收</w:t>
      </w:r>
      <w:r>
        <w:t>工作过程中，通过抽样进行民意调查，目的在于了解工程水土保持工作及水土保持设施对当地经济和自然环境所产生的影响、民众的反响，以作为本次技术评估工作的重要依据。所调查的对象主要是当地居民，被调查者中有老年人</w:t>
      </w:r>
      <w:r>
        <w:rPr>
          <w:rFonts w:hint="eastAsia"/>
        </w:rPr>
        <w:t>4</w:t>
      </w:r>
      <w:r>
        <w:t>人、中年人</w:t>
      </w:r>
      <w:r>
        <w:rPr>
          <w:rFonts w:hint="eastAsia"/>
        </w:rPr>
        <w:t>10</w:t>
      </w:r>
      <w:r>
        <w:t>人、青年人</w:t>
      </w:r>
      <w:r>
        <w:rPr>
          <w:rFonts w:hint="eastAsia"/>
        </w:rPr>
        <w:t>6</w:t>
      </w:r>
      <w:r>
        <w:t>人，其中男性10人、女性</w:t>
      </w:r>
      <w:r>
        <w:rPr>
          <w:rFonts w:hint="eastAsia"/>
        </w:rPr>
        <w:t>10</w:t>
      </w:r>
      <w:r>
        <w:t>人。调查统计结果见表5-</w:t>
      </w:r>
      <w:r>
        <w:rPr>
          <w:rFonts w:hint="eastAsia"/>
        </w:rPr>
        <w:t>2</w:t>
      </w:r>
      <w:r>
        <w:t>。</w:t>
      </w:r>
    </w:p>
    <w:p>
      <w:pPr>
        <w:ind w:firstLine="482"/>
        <w:jc w:val="center"/>
        <w:rPr>
          <w:rFonts w:cs="仿宋"/>
          <w:b/>
          <w:bCs/>
        </w:rPr>
      </w:pPr>
      <w:r>
        <w:rPr>
          <w:rFonts w:hint="eastAsia" w:cs="仿宋"/>
          <w:b/>
          <w:bCs/>
        </w:rPr>
        <w:t>表5-2 公众满意度调查表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14"/>
        <w:gridCol w:w="885"/>
        <w:gridCol w:w="765"/>
        <w:gridCol w:w="810"/>
        <w:gridCol w:w="765"/>
        <w:gridCol w:w="865"/>
        <w:gridCol w:w="6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vMerge w:val="restart"/>
            <w:tcBorders>
              <w:tl2br w:val="nil"/>
              <w:tr2bl w:val="nil"/>
            </w:tcBorders>
            <w:vAlign w:val="center"/>
          </w:tcPr>
          <w:p>
            <w:pPr>
              <w:spacing w:line="240" w:lineRule="auto"/>
              <w:ind w:firstLine="0" w:firstLineChars="0"/>
              <w:jc w:val="center"/>
              <w:rPr>
                <w:b/>
                <w:bCs/>
                <w:sz w:val="21"/>
                <w:szCs w:val="21"/>
              </w:rPr>
            </w:pPr>
            <w:r>
              <w:rPr>
                <w:b/>
                <w:bCs/>
                <w:sz w:val="21"/>
                <w:szCs w:val="21"/>
              </w:rPr>
              <w:t>调查人数（人）</w:t>
            </w:r>
          </w:p>
        </w:tc>
        <w:tc>
          <w:tcPr>
            <w:tcW w:w="1650" w:type="dxa"/>
            <w:gridSpan w:val="2"/>
            <w:tcBorders>
              <w:tl2br w:val="nil"/>
              <w:tr2bl w:val="nil"/>
            </w:tcBorders>
            <w:vAlign w:val="center"/>
          </w:tcPr>
          <w:p>
            <w:pPr>
              <w:spacing w:line="240" w:lineRule="auto"/>
              <w:ind w:firstLine="0" w:firstLineChars="0"/>
              <w:jc w:val="center"/>
              <w:rPr>
                <w:b/>
                <w:bCs/>
                <w:sz w:val="21"/>
                <w:szCs w:val="21"/>
              </w:rPr>
            </w:pPr>
            <w:r>
              <w:rPr>
                <w:b/>
                <w:bCs/>
                <w:sz w:val="21"/>
                <w:szCs w:val="21"/>
              </w:rPr>
              <w:t>总人数</w:t>
            </w:r>
          </w:p>
        </w:tc>
        <w:tc>
          <w:tcPr>
            <w:tcW w:w="1575" w:type="dxa"/>
            <w:gridSpan w:val="2"/>
            <w:tcBorders>
              <w:tl2br w:val="nil"/>
              <w:tr2bl w:val="nil"/>
            </w:tcBorders>
            <w:vAlign w:val="center"/>
          </w:tcPr>
          <w:p>
            <w:pPr>
              <w:spacing w:line="240" w:lineRule="auto"/>
              <w:ind w:firstLine="0" w:firstLineChars="0"/>
              <w:jc w:val="center"/>
              <w:rPr>
                <w:b/>
                <w:bCs/>
                <w:sz w:val="21"/>
                <w:szCs w:val="21"/>
              </w:rPr>
            </w:pPr>
            <w:r>
              <w:rPr>
                <w:b/>
                <w:bCs/>
                <w:sz w:val="21"/>
                <w:szCs w:val="21"/>
              </w:rPr>
              <w:t>男</w:t>
            </w:r>
          </w:p>
        </w:tc>
        <w:tc>
          <w:tcPr>
            <w:tcW w:w="1507" w:type="dxa"/>
            <w:gridSpan w:val="2"/>
            <w:tcBorders>
              <w:tl2br w:val="nil"/>
              <w:tr2bl w:val="nil"/>
            </w:tcBorders>
            <w:vAlign w:val="center"/>
          </w:tcPr>
          <w:p>
            <w:pPr>
              <w:spacing w:line="240" w:lineRule="auto"/>
              <w:ind w:firstLine="0" w:firstLineChars="0"/>
              <w:jc w:val="center"/>
              <w:rPr>
                <w:b/>
                <w:bCs/>
                <w:sz w:val="21"/>
                <w:szCs w:val="21"/>
              </w:rPr>
            </w:pPr>
            <w:r>
              <w:rPr>
                <w:b/>
                <w:bCs/>
                <w:sz w:val="21"/>
                <w:szCs w:val="21"/>
              </w:rPr>
              <w:t>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4214" w:type="dxa"/>
            <w:vMerge w:val="continue"/>
            <w:tcBorders>
              <w:tl2br w:val="nil"/>
              <w:tr2bl w:val="nil"/>
            </w:tcBorders>
            <w:vAlign w:val="center"/>
          </w:tcPr>
          <w:p>
            <w:pPr>
              <w:ind w:firstLine="480"/>
            </w:pPr>
          </w:p>
        </w:tc>
        <w:tc>
          <w:tcPr>
            <w:tcW w:w="1650" w:type="dxa"/>
            <w:gridSpan w:val="2"/>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20</w:t>
            </w:r>
          </w:p>
        </w:tc>
        <w:tc>
          <w:tcPr>
            <w:tcW w:w="1575" w:type="dxa"/>
            <w:gridSpan w:val="2"/>
            <w:tcBorders>
              <w:tl2br w:val="nil"/>
              <w:tr2bl w:val="nil"/>
            </w:tcBorders>
            <w:vAlign w:val="center"/>
          </w:tcPr>
          <w:p>
            <w:pPr>
              <w:spacing w:line="240" w:lineRule="auto"/>
              <w:ind w:firstLine="0" w:firstLineChars="0"/>
              <w:jc w:val="center"/>
              <w:rPr>
                <w:b/>
                <w:bCs/>
                <w:sz w:val="21"/>
                <w:szCs w:val="21"/>
              </w:rPr>
            </w:pPr>
            <w:r>
              <w:rPr>
                <w:b/>
                <w:bCs/>
                <w:sz w:val="21"/>
                <w:szCs w:val="21"/>
              </w:rPr>
              <w:t>10</w:t>
            </w:r>
          </w:p>
        </w:tc>
        <w:tc>
          <w:tcPr>
            <w:tcW w:w="1507" w:type="dxa"/>
            <w:gridSpan w:val="2"/>
            <w:tcBorders>
              <w:tl2br w:val="nil"/>
              <w:tr2bl w:val="nil"/>
            </w:tcBorders>
            <w:vAlign w:val="center"/>
          </w:tcPr>
          <w:p>
            <w:pPr>
              <w:spacing w:line="240" w:lineRule="auto"/>
              <w:ind w:firstLine="0" w:firstLineChars="0"/>
              <w:jc w:val="center"/>
              <w:rPr>
                <w:b/>
                <w:bCs/>
                <w:sz w:val="21"/>
                <w:szCs w:val="21"/>
              </w:rPr>
            </w:pPr>
            <w:r>
              <w:rPr>
                <w:rFonts w:hint="eastAsia"/>
                <w:b/>
                <w:bCs/>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vMerge w:val="restart"/>
            <w:tcBorders>
              <w:tl2br w:val="nil"/>
              <w:tr2bl w:val="nil"/>
            </w:tcBorders>
            <w:vAlign w:val="center"/>
          </w:tcPr>
          <w:p>
            <w:pPr>
              <w:spacing w:line="240" w:lineRule="auto"/>
              <w:ind w:firstLine="0" w:firstLineChars="0"/>
              <w:jc w:val="center"/>
              <w:rPr>
                <w:sz w:val="21"/>
                <w:szCs w:val="21"/>
              </w:rPr>
            </w:pPr>
            <w:r>
              <w:rPr>
                <w:sz w:val="21"/>
                <w:szCs w:val="21"/>
              </w:rPr>
              <w:t>年龄段分布情况</w:t>
            </w:r>
          </w:p>
        </w:tc>
        <w:tc>
          <w:tcPr>
            <w:tcW w:w="1650" w:type="dxa"/>
            <w:gridSpan w:val="2"/>
            <w:tcBorders>
              <w:tl2br w:val="nil"/>
              <w:tr2bl w:val="nil"/>
            </w:tcBorders>
            <w:vAlign w:val="center"/>
          </w:tcPr>
          <w:p>
            <w:pPr>
              <w:spacing w:line="240" w:lineRule="auto"/>
              <w:ind w:firstLine="0" w:firstLineChars="0"/>
              <w:jc w:val="center"/>
              <w:rPr>
                <w:sz w:val="21"/>
                <w:szCs w:val="21"/>
              </w:rPr>
            </w:pPr>
            <w:r>
              <w:rPr>
                <w:sz w:val="21"/>
                <w:szCs w:val="21"/>
              </w:rPr>
              <w:t>20岁～34岁</w:t>
            </w:r>
          </w:p>
        </w:tc>
        <w:tc>
          <w:tcPr>
            <w:tcW w:w="1575" w:type="dxa"/>
            <w:gridSpan w:val="2"/>
            <w:tcBorders>
              <w:tl2br w:val="nil"/>
              <w:tr2bl w:val="nil"/>
            </w:tcBorders>
            <w:vAlign w:val="center"/>
          </w:tcPr>
          <w:p>
            <w:pPr>
              <w:spacing w:line="240" w:lineRule="auto"/>
              <w:ind w:firstLine="0" w:firstLineChars="0"/>
              <w:jc w:val="center"/>
              <w:rPr>
                <w:sz w:val="21"/>
                <w:szCs w:val="21"/>
              </w:rPr>
            </w:pPr>
            <w:r>
              <w:rPr>
                <w:sz w:val="21"/>
                <w:szCs w:val="21"/>
              </w:rPr>
              <w:t>35岁～59岁</w:t>
            </w:r>
          </w:p>
        </w:tc>
        <w:tc>
          <w:tcPr>
            <w:tcW w:w="1507" w:type="dxa"/>
            <w:gridSpan w:val="2"/>
            <w:tcBorders>
              <w:tl2br w:val="nil"/>
              <w:tr2bl w:val="nil"/>
            </w:tcBorders>
            <w:vAlign w:val="center"/>
          </w:tcPr>
          <w:p>
            <w:pPr>
              <w:spacing w:line="240" w:lineRule="auto"/>
              <w:ind w:firstLine="0" w:firstLineChars="0"/>
              <w:jc w:val="center"/>
              <w:rPr>
                <w:sz w:val="21"/>
                <w:szCs w:val="21"/>
              </w:rPr>
            </w:pPr>
            <w:r>
              <w:rPr>
                <w:sz w:val="21"/>
                <w:szCs w:val="21"/>
              </w:rPr>
              <w:t>60岁以上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4214" w:type="dxa"/>
            <w:vMerge w:val="continue"/>
            <w:tcBorders>
              <w:tl2br w:val="nil"/>
              <w:tr2bl w:val="nil"/>
            </w:tcBorders>
            <w:vAlign w:val="center"/>
          </w:tcPr>
          <w:p>
            <w:pPr>
              <w:ind w:firstLine="480"/>
            </w:pPr>
          </w:p>
        </w:tc>
        <w:tc>
          <w:tcPr>
            <w:tcW w:w="1650" w:type="dxa"/>
            <w:gridSpan w:val="2"/>
            <w:tcBorders>
              <w:tl2br w:val="nil"/>
              <w:tr2bl w:val="nil"/>
            </w:tcBorders>
            <w:vAlign w:val="center"/>
          </w:tcPr>
          <w:p>
            <w:pPr>
              <w:spacing w:line="240" w:lineRule="auto"/>
              <w:ind w:firstLine="0" w:firstLineChars="0"/>
              <w:jc w:val="center"/>
              <w:rPr>
                <w:sz w:val="21"/>
                <w:szCs w:val="21"/>
              </w:rPr>
            </w:pPr>
            <w:r>
              <w:rPr>
                <w:rFonts w:hint="eastAsia"/>
                <w:sz w:val="21"/>
                <w:szCs w:val="21"/>
              </w:rPr>
              <w:t>6</w:t>
            </w:r>
          </w:p>
        </w:tc>
        <w:tc>
          <w:tcPr>
            <w:tcW w:w="1575" w:type="dxa"/>
            <w:gridSpan w:val="2"/>
            <w:tcBorders>
              <w:tl2br w:val="nil"/>
              <w:tr2bl w:val="nil"/>
            </w:tcBorders>
            <w:vAlign w:val="center"/>
          </w:tcPr>
          <w:p>
            <w:pPr>
              <w:spacing w:line="240" w:lineRule="auto"/>
              <w:ind w:firstLine="0" w:firstLineChars="0"/>
              <w:jc w:val="center"/>
              <w:rPr>
                <w:sz w:val="21"/>
                <w:szCs w:val="21"/>
              </w:rPr>
            </w:pPr>
            <w:r>
              <w:rPr>
                <w:rFonts w:hint="eastAsia"/>
                <w:sz w:val="21"/>
                <w:szCs w:val="21"/>
              </w:rPr>
              <w:t>10</w:t>
            </w:r>
          </w:p>
        </w:tc>
        <w:tc>
          <w:tcPr>
            <w:tcW w:w="1507" w:type="dxa"/>
            <w:gridSpan w:val="2"/>
            <w:tcBorders>
              <w:tl2br w:val="nil"/>
              <w:tr2bl w:val="nil"/>
            </w:tcBorders>
            <w:vAlign w:val="center"/>
          </w:tcPr>
          <w:p>
            <w:pPr>
              <w:spacing w:line="240" w:lineRule="auto"/>
              <w:ind w:firstLine="0" w:firstLineChars="0"/>
              <w:jc w:val="center"/>
              <w:rPr>
                <w:sz w:val="21"/>
                <w:szCs w:val="21"/>
              </w:rPr>
            </w:pPr>
            <w:r>
              <w:rPr>
                <w:rFonts w:hint="eastAsia"/>
                <w:sz w:val="21"/>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vMerge w:val="restart"/>
            <w:tcBorders>
              <w:tl2br w:val="nil"/>
              <w:tr2bl w:val="nil"/>
            </w:tcBorders>
            <w:vAlign w:val="center"/>
          </w:tcPr>
          <w:p>
            <w:pPr>
              <w:spacing w:line="240" w:lineRule="auto"/>
              <w:ind w:firstLine="0" w:firstLineChars="0"/>
              <w:jc w:val="center"/>
              <w:rPr>
                <w:sz w:val="21"/>
                <w:szCs w:val="21"/>
              </w:rPr>
            </w:pPr>
            <w:r>
              <w:rPr>
                <w:sz w:val="21"/>
                <w:szCs w:val="21"/>
              </w:rPr>
              <w:t>文化程度分部情况（人）</w:t>
            </w:r>
          </w:p>
        </w:tc>
        <w:tc>
          <w:tcPr>
            <w:tcW w:w="1650" w:type="dxa"/>
            <w:gridSpan w:val="2"/>
            <w:tcBorders>
              <w:tl2br w:val="nil"/>
              <w:tr2bl w:val="nil"/>
            </w:tcBorders>
            <w:vAlign w:val="center"/>
          </w:tcPr>
          <w:p>
            <w:pPr>
              <w:spacing w:line="240" w:lineRule="auto"/>
              <w:ind w:firstLine="0" w:firstLineChars="0"/>
              <w:jc w:val="center"/>
              <w:rPr>
                <w:sz w:val="21"/>
                <w:szCs w:val="21"/>
              </w:rPr>
            </w:pPr>
            <w:r>
              <w:rPr>
                <w:sz w:val="21"/>
                <w:szCs w:val="21"/>
              </w:rPr>
              <w:t>小学</w:t>
            </w:r>
          </w:p>
        </w:tc>
        <w:tc>
          <w:tcPr>
            <w:tcW w:w="1575" w:type="dxa"/>
            <w:gridSpan w:val="2"/>
            <w:tcBorders>
              <w:tl2br w:val="nil"/>
              <w:tr2bl w:val="nil"/>
            </w:tcBorders>
            <w:vAlign w:val="center"/>
          </w:tcPr>
          <w:p>
            <w:pPr>
              <w:spacing w:line="240" w:lineRule="auto"/>
              <w:ind w:firstLine="0" w:firstLineChars="0"/>
              <w:jc w:val="center"/>
              <w:rPr>
                <w:sz w:val="21"/>
                <w:szCs w:val="21"/>
              </w:rPr>
            </w:pPr>
            <w:r>
              <w:rPr>
                <w:sz w:val="21"/>
                <w:szCs w:val="21"/>
              </w:rPr>
              <w:t>初中或高中</w:t>
            </w:r>
          </w:p>
        </w:tc>
        <w:tc>
          <w:tcPr>
            <w:tcW w:w="1507" w:type="dxa"/>
            <w:gridSpan w:val="2"/>
            <w:tcBorders>
              <w:tl2br w:val="nil"/>
              <w:tr2bl w:val="nil"/>
            </w:tcBorders>
            <w:vAlign w:val="center"/>
          </w:tcPr>
          <w:p>
            <w:pPr>
              <w:spacing w:line="240" w:lineRule="auto"/>
              <w:ind w:firstLine="0" w:firstLineChars="0"/>
              <w:jc w:val="center"/>
              <w:rPr>
                <w:sz w:val="21"/>
                <w:szCs w:val="21"/>
              </w:rPr>
            </w:pPr>
            <w:r>
              <w:rPr>
                <w:sz w:val="21"/>
                <w:szCs w:val="21"/>
              </w:rPr>
              <w:t>大学专科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vMerge w:val="continue"/>
            <w:tcBorders>
              <w:tl2br w:val="nil"/>
              <w:tr2bl w:val="nil"/>
            </w:tcBorders>
            <w:vAlign w:val="center"/>
          </w:tcPr>
          <w:p>
            <w:pPr>
              <w:ind w:firstLine="480"/>
            </w:pPr>
          </w:p>
        </w:tc>
        <w:tc>
          <w:tcPr>
            <w:tcW w:w="1650" w:type="dxa"/>
            <w:gridSpan w:val="2"/>
            <w:tcBorders>
              <w:tl2br w:val="nil"/>
              <w:tr2bl w:val="nil"/>
            </w:tcBorders>
            <w:vAlign w:val="center"/>
          </w:tcPr>
          <w:p>
            <w:pPr>
              <w:spacing w:line="240" w:lineRule="auto"/>
              <w:ind w:firstLine="0" w:firstLineChars="0"/>
              <w:jc w:val="center"/>
              <w:rPr>
                <w:sz w:val="21"/>
                <w:szCs w:val="21"/>
              </w:rPr>
            </w:pPr>
            <w:r>
              <w:rPr>
                <w:sz w:val="21"/>
                <w:szCs w:val="21"/>
              </w:rPr>
              <w:t>1</w:t>
            </w:r>
          </w:p>
        </w:tc>
        <w:tc>
          <w:tcPr>
            <w:tcW w:w="1575" w:type="dxa"/>
            <w:gridSpan w:val="2"/>
            <w:tcBorders>
              <w:tl2br w:val="nil"/>
              <w:tr2bl w:val="nil"/>
            </w:tcBorders>
            <w:vAlign w:val="center"/>
          </w:tcPr>
          <w:p>
            <w:pPr>
              <w:spacing w:line="240" w:lineRule="auto"/>
              <w:ind w:firstLine="0" w:firstLineChars="0"/>
              <w:jc w:val="center"/>
              <w:rPr>
                <w:sz w:val="21"/>
                <w:szCs w:val="21"/>
              </w:rPr>
            </w:pPr>
            <w:r>
              <w:rPr>
                <w:sz w:val="21"/>
                <w:szCs w:val="21"/>
              </w:rPr>
              <w:t>12</w:t>
            </w:r>
          </w:p>
        </w:tc>
        <w:tc>
          <w:tcPr>
            <w:tcW w:w="1507" w:type="dxa"/>
            <w:gridSpan w:val="2"/>
            <w:tcBorders>
              <w:tl2br w:val="nil"/>
              <w:tr2bl w:val="nil"/>
            </w:tcBorders>
            <w:vAlign w:val="center"/>
          </w:tcPr>
          <w:p>
            <w:pPr>
              <w:spacing w:line="240" w:lineRule="auto"/>
              <w:ind w:firstLine="0" w:firstLineChars="0"/>
              <w:jc w:val="center"/>
              <w:rPr>
                <w:sz w:val="21"/>
                <w:szCs w:val="21"/>
              </w:rPr>
            </w:pPr>
            <w:r>
              <w:rPr>
                <w:rFonts w:hint="eastAsia"/>
                <w:sz w:val="21"/>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center"/>
              <w:rPr>
                <w:sz w:val="21"/>
                <w:szCs w:val="21"/>
              </w:rPr>
            </w:pPr>
            <w:r>
              <w:rPr>
                <w:sz w:val="21"/>
                <w:szCs w:val="21"/>
              </w:rPr>
              <w:t>调查项目评估</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有</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无</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w:t>
            </w:r>
          </w:p>
        </w:tc>
        <w:tc>
          <w:tcPr>
            <w:tcW w:w="865" w:type="dxa"/>
            <w:tcBorders>
              <w:tl2br w:val="nil"/>
              <w:tr2bl w:val="nil"/>
            </w:tcBorders>
            <w:vAlign w:val="center"/>
          </w:tcPr>
          <w:p>
            <w:pPr>
              <w:spacing w:line="240" w:lineRule="auto"/>
              <w:ind w:firstLine="0" w:firstLineChars="0"/>
              <w:jc w:val="center"/>
              <w:rPr>
                <w:sz w:val="21"/>
                <w:szCs w:val="21"/>
              </w:rPr>
            </w:pPr>
            <w:r>
              <w:rPr>
                <w:sz w:val="21"/>
                <w:szCs w:val="21"/>
              </w:rPr>
              <w:t>说不清</w:t>
            </w:r>
          </w:p>
        </w:tc>
        <w:tc>
          <w:tcPr>
            <w:tcW w:w="642" w:type="dxa"/>
            <w:tcBorders>
              <w:tl2br w:val="nil"/>
              <w:tr2bl w:val="nil"/>
            </w:tcBorders>
            <w:vAlign w:val="center"/>
          </w:tcPr>
          <w:p>
            <w:pPr>
              <w:spacing w:line="240" w:lineRule="auto"/>
              <w:ind w:firstLine="0" w:firstLineChars="0"/>
              <w:jc w:val="center"/>
              <w:rPr>
                <w:sz w:val="21"/>
                <w:szCs w:val="21"/>
              </w:rPr>
            </w:pPr>
            <w:r>
              <w:rPr>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1.有没发生过重大的水土流失事件</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 xml:space="preserve">0 </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16</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80</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4</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2.工程开工建设过程中，附近沟渠水清澈度有无明显变化</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 xml:space="preserve">0 </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15</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75</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5</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3.工程建设过程中，是否有黄泥进入农田</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15</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75</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5</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4.农田、菜地淤积情况是否严重</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14</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70</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6</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5.日常生产生活是否受到泥沙影响</w:t>
            </w:r>
          </w:p>
        </w:tc>
        <w:tc>
          <w:tcPr>
            <w:tcW w:w="885" w:type="dxa"/>
            <w:tcBorders>
              <w:tl2br w:val="nil"/>
              <w:tr2bl w:val="nil"/>
            </w:tcBorders>
            <w:vAlign w:val="center"/>
          </w:tcPr>
          <w:p>
            <w:pPr>
              <w:spacing w:line="240" w:lineRule="auto"/>
              <w:ind w:firstLine="0" w:firstLineChars="0"/>
              <w:jc w:val="center"/>
              <w:rPr>
                <w:sz w:val="21"/>
                <w:szCs w:val="21"/>
              </w:rPr>
            </w:pPr>
            <w:r>
              <w:rPr>
                <w:rFonts w:hint="eastAsia"/>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0</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16</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80</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4</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6. 是否向工程建设人员反映泥沙情况</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 xml:space="preserve">0 </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18</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90</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2</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7.工程建设人员是否经常深入群众了解泥沙危害，并听取大家意见</w:t>
            </w:r>
          </w:p>
        </w:tc>
        <w:tc>
          <w:tcPr>
            <w:tcW w:w="885" w:type="dxa"/>
            <w:tcBorders>
              <w:tl2br w:val="nil"/>
              <w:tr2bl w:val="nil"/>
            </w:tcBorders>
            <w:vAlign w:val="center"/>
          </w:tcPr>
          <w:p>
            <w:pPr>
              <w:spacing w:line="240" w:lineRule="auto"/>
              <w:ind w:firstLine="0" w:firstLineChars="0"/>
              <w:jc w:val="center"/>
              <w:rPr>
                <w:sz w:val="21"/>
                <w:szCs w:val="21"/>
              </w:rPr>
            </w:pPr>
            <w:r>
              <w:rPr>
                <w:rFonts w:hint="eastAsia"/>
                <w:sz w:val="21"/>
                <w:szCs w:val="21"/>
              </w:rPr>
              <w:t>11</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55</w:t>
            </w:r>
          </w:p>
        </w:tc>
        <w:tc>
          <w:tcPr>
            <w:tcW w:w="810" w:type="dxa"/>
            <w:tcBorders>
              <w:tl2br w:val="nil"/>
              <w:tr2bl w:val="nil"/>
            </w:tcBorders>
            <w:vAlign w:val="center"/>
          </w:tcPr>
          <w:p>
            <w:pPr>
              <w:spacing w:line="240" w:lineRule="auto"/>
              <w:ind w:firstLine="0" w:firstLineChars="0"/>
              <w:jc w:val="center"/>
              <w:rPr>
                <w:sz w:val="21"/>
                <w:szCs w:val="21"/>
              </w:rPr>
            </w:pPr>
            <w:r>
              <w:rPr>
                <w:rFonts w:hint="eastAsia"/>
                <w:sz w:val="21"/>
                <w:szCs w:val="21"/>
              </w:rPr>
              <w:t>1</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5.0</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8</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4"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8.是否认同建设单位对林草植被建设做得很好</w:t>
            </w:r>
          </w:p>
        </w:tc>
        <w:tc>
          <w:tcPr>
            <w:tcW w:w="885" w:type="dxa"/>
            <w:tcBorders>
              <w:tl2br w:val="nil"/>
              <w:tr2bl w:val="nil"/>
            </w:tcBorders>
            <w:vAlign w:val="center"/>
          </w:tcPr>
          <w:p>
            <w:pPr>
              <w:spacing w:line="240" w:lineRule="auto"/>
              <w:ind w:firstLine="0" w:firstLineChars="0"/>
              <w:jc w:val="center"/>
              <w:rPr>
                <w:sz w:val="21"/>
                <w:szCs w:val="21"/>
              </w:rPr>
            </w:pPr>
            <w:r>
              <w:rPr>
                <w:rFonts w:hint="eastAsia"/>
                <w:sz w:val="21"/>
                <w:szCs w:val="21"/>
              </w:rPr>
              <w:t>15</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75</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 xml:space="preserve">0 </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5</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9.建设单位对临时使用的土地是否进行了有效的恢复</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16</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80</w:t>
            </w:r>
          </w:p>
        </w:tc>
        <w:tc>
          <w:tcPr>
            <w:tcW w:w="810" w:type="dxa"/>
            <w:tcBorders>
              <w:tl2br w:val="nil"/>
              <w:tr2bl w:val="nil"/>
            </w:tcBorders>
            <w:vAlign w:val="center"/>
          </w:tcPr>
          <w:p>
            <w:pPr>
              <w:spacing w:line="240" w:lineRule="auto"/>
              <w:ind w:firstLine="0" w:firstLineChars="0"/>
              <w:jc w:val="center"/>
              <w:rPr>
                <w:sz w:val="21"/>
                <w:szCs w:val="21"/>
              </w:rPr>
            </w:pPr>
            <w:r>
              <w:rPr>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sz w:val="21"/>
                <w:szCs w:val="21"/>
              </w:rPr>
              <w:t xml:space="preserve">0 </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4</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 w:hRule="atLeast"/>
          <w:jc w:val="center"/>
        </w:trPr>
        <w:tc>
          <w:tcPr>
            <w:tcW w:w="4214" w:type="dxa"/>
            <w:tcBorders>
              <w:tl2br w:val="nil"/>
              <w:tr2bl w:val="nil"/>
            </w:tcBorders>
            <w:vAlign w:val="center"/>
          </w:tcPr>
          <w:p>
            <w:pPr>
              <w:spacing w:line="240" w:lineRule="auto"/>
              <w:ind w:firstLine="0" w:firstLineChars="0"/>
              <w:jc w:val="left"/>
              <w:rPr>
                <w:sz w:val="21"/>
                <w:szCs w:val="21"/>
              </w:rPr>
            </w:pPr>
            <w:r>
              <w:rPr>
                <w:sz w:val="21"/>
                <w:szCs w:val="21"/>
              </w:rPr>
              <w:t>10.是否认同工程开工建设带动了当地经济发展</w:t>
            </w:r>
          </w:p>
        </w:tc>
        <w:tc>
          <w:tcPr>
            <w:tcW w:w="885" w:type="dxa"/>
            <w:tcBorders>
              <w:tl2br w:val="nil"/>
              <w:tr2bl w:val="nil"/>
            </w:tcBorders>
            <w:vAlign w:val="center"/>
          </w:tcPr>
          <w:p>
            <w:pPr>
              <w:spacing w:line="240" w:lineRule="auto"/>
              <w:ind w:firstLine="0" w:firstLineChars="0"/>
              <w:jc w:val="center"/>
              <w:rPr>
                <w:sz w:val="21"/>
                <w:szCs w:val="21"/>
              </w:rPr>
            </w:pPr>
            <w:r>
              <w:rPr>
                <w:sz w:val="21"/>
                <w:szCs w:val="21"/>
              </w:rPr>
              <w:t>1</w:t>
            </w:r>
            <w:r>
              <w:rPr>
                <w:rFonts w:hint="eastAsia"/>
                <w:sz w:val="21"/>
                <w:szCs w:val="21"/>
              </w:rPr>
              <w:t>8</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90</w:t>
            </w:r>
          </w:p>
        </w:tc>
        <w:tc>
          <w:tcPr>
            <w:tcW w:w="810" w:type="dxa"/>
            <w:tcBorders>
              <w:tl2br w:val="nil"/>
              <w:tr2bl w:val="nil"/>
            </w:tcBorders>
            <w:vAlign w:val="center"/>
          </w:tcPr>
          <w:p>
            <w:pPr>
              <w:spacing w:line="240" w:lineRule="auto"/>
              <w:ind w:firstLine="0" w:firstLineChars="0"/>
              <w:jc w:val="center"/>
              <w:rPr>
                <w:sz w:val="21"/>
                <w:szCs w:val="21"/>
              </w:rPr>
            </w:pPr>
            <w:r>
              <w:rPr>
                <w:rFonts w:hint="eastAsia"/>
                <w:sz w:val="21"/>
                <w:szCs w:val="21"/>
              </w:rPr>
              <w:t>0</w:t>
            </w:r>
          </w:p>
        </w:tc>
        <w:tc>
          <w:tcPr>
            <w:tcW w:w="765" w:type="dxa"/>
            <w:tcBorders>
              <w:tl2br w:val="nil"/>
              <w:tr2bl w:val="nil"/>
            </w:tcBorders>
            <w:vAlign w:val="center"/>
          </w:tcPr>
          <w:p>
            <w:pPr>
              <w:spacing w:line="240" w:lineRule="auto"/>
              <w:ind w:firstLine="0" w:firstLineChars="0"/>
              <w:jc w:val="center"/>
              <w:rPr>
                <w:sz w:val="21"/>
                <w:szCs w:val="21"/>
              </w:rPr>
            </w:pPr>
            <w:r>
              <w:rPr>
                <w:rFonts w:hint="eastAsia"/>
                <w:sz w:val="21"/>
                <w:szCs w:val="21"/>
              </w:rPr>
              <w:t>0</w:t>
            </w:r>
          </w:p>
        </w:tc>
        <w:tc>
          <w:tcPr>
            <w:tcW w:w="865" w:type="dxa"/>
            <w:tcBorders>
              <w:tl2br w:val="nil"/>
              <w:tr2bl w:val="nil"/>
            </w:tcBorders>
            <w:vAlign w:val="center"/>
          </w:tcPr>
          <w:p>
            <w:pPr>
              <w:spacing w:line="240" w:lineRule="auto"/>
              <w:ind w:firstLine="0" w:firstLineChars="0"/>
              <w:jc w:val="center"/>
              <w:rPr>
                <w:sz w:val="21"/>
                <w:szCs w:val="21"/>
              </w:rPr>
            </w:pPr>
            <w:r>
              <w:rPr>
                <w:rFonts w:hint="eastAsia"/>
                <w:sz w:val="21"/>
                <w:szCs w:val="21"/>
              </w:rPr>
              <w:t>2</w:t>
            </w:r>
          </w:p>
        </w:tc>
        <w:tc>
          <w:tcPr>
            <w:tcW w:w="642" w:type="dxa"/>
            <w:tcBorders>
              <w:tl2br w:val="nil"/>
              <w:tr2bl w:val="nil"/>
            </w:tcBorders>
            <w:vAlign w:val="center"/>
          </w:tcPr>
          <w:p>
            <w:pPr>
              <w:spacing w:line="240" w:lineRule="auto"/>
              <w:ind w:firstLine="0" w:firstLineChars="0"/>
              <w:jc w:val="center"/>
              <w:rPr>
                <w:sz w:val="21"/>
                <w:szCs w:val="21"/>
              </w:rPr>
            </w:pPr>
            <w:r>
              <w:rPr>
                <w:rFonts w:hint="eastAsia"/>
                <w:sz w:val="21"/>
                <w:szCs w:val="21"/>
              </w:rPr>
              <w:t>10</w:t>
            </w:r>
          </w:p>
        </w:tc>
      </w:tr>
    </w:tbl>
    <w:p>
      <w:pPr>
        <w:ind w:firstLine="480"/>
        <w:sectPr>
          <w:pgSz w:w="11906" w:h="16838"/>
          <w:pgMar w:top="1587" w:right="1587" w:bottom="1587" w:left="1587" w:header="567" w:footer="567" w:gutter="0"/>
          <w:cols w:space="720" w:num="1"/>
          <w:docGrid w:type="lines" w:linePitch="312" w:charSpace="0"/>
        </w:sectPr>
      </w:pPr>
      <w:r>
        <w:rPr>
          <w:rFonts w:hint="eastAsia"/>
        </w:rPr>
        <w:t>调查结果表明，项目区周围群众多数认为</w:t>
      </w:r>
      <w:r>
        <w:rPr>
          <w:rFonts w:hint="eastAsia"/>
          <w:lang w:val="zh-CN"/>
        </w:rPr>
        <w:t>楚天都市沁园建设项目</w:t>
      </w:r>
      <w:r>
        <w:rPr>
          <w:rFonts w:hint="eastAsia"/>
        </w:rPr>
        <w:t>对促进当地经济发展有积极意义、项目建设造成水土流失得到有效治理、工程建设中的弃土弃渣管理、林草植被建设也比较好。工程竣工后，对项目区实施了绿化美化和生态恢复，并取得了明显的效果。</w:t>
      </w:r>
    </w:p>
    <w:p>
      <w:pPr>
        <w:pStyle w:val="3"/>
        <w:ind w:left="1680" w:leftChars="700" w:firstLine="883"/>
        <w:jc w:val="left"/>
      </w:pPr>
      <w:bookmarkStart w:id="121" w:name="_Toc20492"/>
      <w:r>
        <w:t>6水土保持管理</w:t>
      </w:r>
      <w:bookmarkEnd w:id="121"/>
    </w:p>
    <w:p>
      <w:pPr>
        <w:pStyle w:val="4"/>
        <w:ind w:firstLine="562"/>
      </w:pPr>
      <w:bookmarkStart w:id="122" w:name="_Toc31712"/>
      <w:r>
        <w:t>6.1 组织领导</w:t>
      </w:r>
      <w:bookmarkEnd w:id="122"/>
    </w:p>
    <w:p>
      <w:pPr>
        <w:ind w:firstLine="480"/>
      </w:pPr>
      <w:r>
        <w:rPr>
          <w:rFonts w:hint="eastAsia"/>
        </w:rPr>
        <w:t>武汉楚天都市置业有限公司作</w:t>
      </w:r>
      <w:r>
        <w:t>为本项目建设单位，全面负责项目水土保持工作。为保证水土保持方案顺利实施，在项目建设期间，</w:t>
      </w:r>
      <w:r>
        <w:rPr>
          <w:rFonts w:hint="eastAsia"/>
        </w:rPr>
        <w:t>建设单位</w:t>
      </w:r>
      <w:r>
        <w:t>指定专人负责水土保持方案的落实，并负责与设计、施工、监理单位之间保持联系，协调水土保持工程与主体工程的关系，确保了水土保持工作的正常开展和顺利进行。</w:t>
      </w:r>
    </w:p>
    <w:p>
      <w:pPr>
        <w:ind w:firstLine="460" w:firstLineChars="192"/>
      </w:pPr>
      <w:r>
        <w:t>参与本项目水土保持工作的单位如下：</w:t>
      </w:r>
    </w:p>
    <w:p>
      <w:pPr>
        <w:ind w:firstLine="480"/>
      </w:pPr>
      <w:r>
        <w:t>建设性质：</w:t>
      </w:r>
      <w:r>
        <w:rPr>
          <w:rFonts w:hint="eastAsia"/>
        </w:rPr>
        <w:t>新建</w:t>
      </w:r>
      <w:r>
        <w:t>项目</w:t>
      </w:r>
    </w:p>
    <w:p>
      <w:pPr>
        <w:ind w:firstLine="460" w:firstLineChars="192"/>
      </w:pPr>
      <w:r>
        <w:t>建设单位：</w:t>
      </w:r>
      <w:r>
        <w:rPr>
          <w:rFonts w:hint="eastAsia"/>
        </w:rPr>
        <w:t>武汉楚天都市置业有限公司</w:t>
      </w:r>
    </w:p>
    <w:p>
      <w:pPr>
        <w:ind w:firstLine="460" w:firstLineChars="192"/>
      </w:pPr>
      <w:r>
        <w:t>设计单位：</w:t>
      </w:r>
      <w:r>
        <w:rPr>
          <w:rFonts w:hint="eastAsia"/>
        </w:rPr>
        <w:t>中信建筑设计研究总院有限公司</w:t>
      </w:r>
    </w:p>
    <w:p>
      <w:pPr>
        <w:ind w:firstLine="460" w:firstLineChars="192"/>
        <w:rPr>
          <w:highlight w:val="yellow"/>
        </w:rPr>
      </w:pPr>
      <w:r>
        <w:t>监理单位：</w:t>
      </w:r>
      <w:r>
        <w:rPr>
          <w:rFonts w:hint="eastAsia"/>
        </w:rPr>
        <w:t>北京中协成建设监理有限责任公司</w:t>
      </w:r>
    </w:p>
    <w:p>
      <w:pPr>
        <w:ind w:firstLine="460" w:firstLineChars="192"/>
      </w:pPr>
      <w:r>
        <w:t>施工单位：</w:t>
      </w:r>
      <w:r>
        <w:rPr>
          <w:rFonts w:hint="eastAsia"/>
        </w:rPr>
        <w:t>湖北民族建设集团有限公司、湖北广盛建设集团有限责任公司</w:t>
      </w:r>
    </w:p>
    <w:p>
      <w:pPr>
        <w:ind w:firstLine="460" w:firstLineChars="192"/>
        <w:rPr>
          <w:bCs/>
        </w:rPr>
      </w:pPr>
      <w:r>
        <w:t>水土保持方案编制单位：南京和谐生态工程技术有限公司</w:t>
      </w:r>
    </w:p>
    <w:p>
      <w:pPr>
        <w:pStyle w:val="4"/>
        <w:ind w:firstLine="562"/>
      </w:pPr>
      <w:bookmarkStart w:id="123" w:name="_Toc5735"/>
      <w:r>
        <w:t>6.2 规章制度</w:t>
      </w:r>
      <w:bookmarkEnd w:id="123"/>
    </w:p>
    <w:p>
      <w:pPr>
        <w:ind w:firstLine="480"/>
      </w:pPr>
      <w:r>
        <w:t>在项目建设期间，</w:t>
      </w:r>
      <w:r>
        <w:rPr>
          <w:rFonts w:hint="eastAsia"/>
        </w:rPr>
        <w:t>武汉楚天都市置业有限公司</w:t>
      </w:r>
      <w:r>
        <w:t>建立了以质量为核心的一系列规章制度。并将水土保持工作纳入主体工程的管理中。形成了施工、监理、设计、建设管理单位各尽其职、密切配合的合作关系，并在工程建设过程中给予逐步完善。</w:t>
      </w:r>
    </w:p>
    <w:p>
      <w:pPr>
        <w:ind w:firstLine="480"/>
      </w:pPr>
      <w:r>
        <w:t>在项目计划合同管理方面，本项目制定了招投标管理、施工管理、财务管理等办法，逐步建立了一整套行之有效的管理制度和体系，先后制定了《建设工程招标管理标准》、《合同管理制度》、《工程签证管理制度》、《财务管理实施办法》、《会计核算办法》、《预算管理办法》、《物资计划管理》、《竣工档案移交管理办法》等一整套适合本工程的制度体系，依据制度建设、管理工程。依据制度建设和体系管理，避免了人为操作的随意性。在施工质量保证的制度和方面，本工程则进一步明确了施工检验、检查的具体方法和要求，落实了质量责任、防止建设过程中不规范的行为。监理单位做到“事前控制、过程跟踪、事后检查”，对工程项目实施全方位、全过程监理。通过这些规章制度的建立和执行保证了水土保持工程的顺利进行。</w:t>
      </w:r>
    </w:p>
    <w:p>
      <w:pPr>
        <w:pStyle w:val="4"/>
        <w:ind w:firstLine="562"/>
      </w:pPr>
      <w:bookmarkStart w:id="124" w:name="_Toc23225"/>
      <w:r>
        <w:t>6.3 建设管理</w:t>
      </w:r>
      <w:bookmarkEnd w:id="124"/>
    </w:p>
    <w:p>
      <w:pPr>
        <w:ind w:firstLine="480"/>
        <w:rPr>
          <w:kern w:val="0"/>
        </w:rPr>
      </w:pPr>
      <w:r>
        <w:rPr>
          <w:rFonts w:hint="eastAsia"/>
        </w:rPr>
        <w:t>在工程建设过程中，为了保证水土保持工程的施工质量和进度，建设单位将水土保持的施工材料采购及供应、施工单位招标程序纳入了主体工程管理程序中。工程开工后，建设、设计、施工、监理等各单位协调合作，坚持“质量第一”的原则，严格按照施工技术规范要求施工，建立了严格的质量保证和监督体系，实行质量自控自检、监理小组旁站监理、建设单位巡视抽查、质监单位查验核实制度，保障了工程建设的质量。</w:t>
      </w:r>
    </w:p>
    <w:p>
      <w:pPr>
        <w:pStyle w:val="4"/>
        <w:ind w:firstLine="562"/>
      </w:pPr>
      <w:bookmarkStart w:id="125" w:name="_Toc18493"/>
      <w:r>
        <w:t>6.</w:t>
      </w:r>
      <w:r>
        <w:rPr>
          <w:rFonts w:hint="eastAsia"/>
        </w:rPr>
        <w:t>4</w:t>
      </w:r>
      <w:r>
        <w:t xml:space="preserve"> 水土保持监测</w:t>
      </w:r>
      <w:bookmarkEnd w:id="125"/>
    </w:p>
    <w:p>
      <w:pPr>
        <w:pStyle w:val="61"/>
        <w:spacing w:line="360" w:lineRule="auto"/>
        <w:ind w:firstLine="480"/>
        <w:rPr>
          <w:rFonts w:cs="仿宋_GB2312"/>
        </w:rPr>
      </w:pPr>
      <w:r>
        <w:rPr>
          <w:rFonts w:hint="eastAsia" w:cs="仿宋_GB2312"/>
          <w:lang w:val="zh-CN"/>
        </w:rPr>
        <w:t>武汉卫澜环保科技有限责任公司</w:t>
      </w:r>
      <w:r>
        <w:rPr>
          <w:rFonts w:hint="eastAsia" w:cs="仿宋_GB2312"/>
        </w:rPr>
        <w:t>于2015年6月受到委托进场，同时组织了一支专业知识强、业务水平高、监测设备齐全、监测经验丰富的水土保持队伍，成立了楚天都市沁园建设项目水土保持监测项目组，并于2015年6月召开技术交底会。根据本工程实际情况及水土保持相关要求，在每次外业监测时，保证每次至少有2名工作人员参与监测工作，根据监测外业工作量进行合理分工，确保监测工作科学、系统地开展。于2015年6月完成《楚天都市沁园建设项目水土保持监测实施方案》，先后完成10份季度报告，包括：</w:t>
      </w:r>
      <w:r>
        <w:rPr>
          <w:rFonts w:hint="eastAsia"/>
        </w:rPr>
        <w:t>2015年第3、4季度，2016年第1、2、3、4季度</w:t>
      </w:r>
      <w:r>
        <w:rPr>
          <w:rFonts w:hint="eastAsia" w:cs="仿宋_GB2312"/>
        </w:rPr>
        <w:t>，2017年</w:t>
      </w:r>
      <w:r>
        <w:rPr>
          <w:rFonts w:hint="eastAsia"/>
        </w:rPr>
        <w:t>第1、2、3、4季度，</w:t>
      </w:r>
      <w:r>
        <w:rPr>
          <w:rFonts w:hint="eastAsia" w:cs="仿宋_GB2312"/>
        </w:rPr>
        <w:t>并于2018年1月编制完成《楚天都市沁园建设项目</w:t>
      </w:r>
      <w:r>
        <w:rPr>
          <w:rFonts w:hint="eastAsia"/>
        </w:rPr>
        <w:t>水土保持监测总结报告</w:t>
      </w:r>
      <w:r>
        <w:rPr>
          <w:rFonts w:hint="eastAsia" w:cs="仿宋_GB2312"/>
        </w:rPr>
        <w:t>》。</w:t>
      </w:r>
    </w:p>
    <w:p>
      <w:pPr>
        <w:pStyle w:val="61"/>
        <w:spacing w:line="360" w:lineRule="auto"/>
        <w:ind w:firstLine="480"/>
        <w:rPr>
          <w:rFonts w:cs="仿宋_GB2312"/>
        </w:rPr>
      </w:pPr>
      <w:r>
        <w:rPr>
          <w:rFonts w:hint="eastAsia" w:cs="仿宋_GB2312"/>
        </w:rPr>
        <w:t>监测点布设情况及监测结果见下表。</w:t>
      </w:r>
    </w:p>
    <w:p>
      <w:pPr>
        <w:pStyle w:val="61"/>
        <w:spacing w:line="360" w:lineRule="auto"/>
        <w:ind w:firstLine="422"/>
        <w:jc w:val="center"/>
        <w:rPr>
          <w:rFonts w:cs="仿宋_GB2312"/>
        </w:rPr>
      </w:pPr>
      <w:r>
        <w:rPr>
          <w:rFonts w:ascii="仿宋_GB2312" w:eastAsia="仿宋_GB2312"/>
          <w:b/>
          <w:sz w:val="21"/>
          <w:szCs w:val="32"/>
          <w:lang w:val="zh-CN"/>
        </w:rPr>
        <w:t>表</w:t>
      </w:r>
      <w:r>
        <w:rPr>
          <w:rFonts w:hint="eastAsia"/>
          <w:b/>
          <w:sz w:val="21"/>
          <w:szCs w:val="32"/>
        </w:rPr>
        <w:t>6-1</w:t>
      </w:r>
      <w:r>
        <w:rPr>
          <w:rFonts w:eastAsia="仿宋_GB2312"/>
          <w:b/>
          <w:sz w:val="21"/>
          <w:szCs w:val="32"/>
          <w:lang w:val="zh-CN"/>
        </w:rPr>
        <w:t xml:space="preserve"> </w:t>
      </w:r>
      <w:r>
        <w:rPr>
          <w:rFonts w:ascii="仿宋_GB2312" w:eastAsia="仿宋_GB2312"/>
          <w:b/>
          <w:sz w:val="21"/>
          <w:szCs w:val="32"/>
          <w:lang w:val="zh-CN"/>
        </w:rPr>
        <w:t xml:space="preserve"> </w:t>
      </w:r>
      <w:r>
        <w:rPr>
          <w:rFonts w:hint="eastAsia" w:ascii="仿宋_GB2312" w:eastAsia="仿宋_GB2312"/>
          <w:b/>
          <w:sz w:val="21"/>
          <w:szCs w:val="32"/>
          <w:lang w:val="zh-CN"/>
        </w:rPr>
        <w:t>水土保持监测点情况</w:t>
      </w:r>
    </w:p>
    <w:tbl>
      <w:tblPr>
        <w:tblStyle w:val="23"/>
        <w:tblW w:w="5000"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0" w:type="dxa"/>
          <w:bottom w:w="0" w:type="dxa"/>
          <w:right w:w="0" w:type="dxa"/>
        </w:tblCellMar>
      </w:tblPr>
      <w:tblGrid>
        <w:gridCol w:w="2186"/>
        <w:gridCol w:w="2186"/>
        <w:gridCol w:w="3013"/>
        <w:gridCol w:w="137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Align w:val="center"/>
          </w:tcPr>
          <w:p>
            <w:pPr>
              <w:pStyle w:val="53"/>
            </w:pPr>
            <w:r>
              <w:t>地块分区</w:t>
            </w:r>
          </w:p>
        </w:tc>
        <w:tc>
          <w:tcPr>
            <w:tcW w:w="1248" w:type="pct"/>
            <w:tcMar>
              <w:top w:w="17" w:type="dxa"/>
              <w:left w:w="17" w:type="dxa"/>
              <w:bottom w:w="0" w:type="dxa"/>
              <w:right w:w="17" w:type="dxa"/>
            </w:tcMar>
            <w:vAlign w:val="center"/>
          </w:tcPr>
          <w:p>
            <w:pPr>
              <w:pStyle w:val="53"/>
            </w:pPr>
            <w:r>
              <w:t>监测区域</w:t>
            </w:r>
          </w:p>
        </w:tc>
        <w:tc>
          <w:tcPr>
            <w:tcW w:w="1720" w:type="pct"/>
            <w:tcMar>
              <w:top w:w="17" w:type="dxa"/>
              <w:left w:w="17" w:type="dxa"/>
              <w:bottom w:w="0" w:type="dxa"/>
              <w:right w:w="17" w:type="dxa"/>
            </w:tcMar>
            <w:vAlign w:val="center"/>
          </w:tcPr>
          <w:p>
            <w:pPr>
              <w:pStyle w:val="53"/>
            </w:pPr>
            <w:r>
              <w:t>监测地点</w:t>
            </w:r>
          </w:p>
        </w:tc>
        <w:tc>
          <w:tcPr>
            <w:tcW w:w="783" w:type="pct"/>
            <w:tcMar>
              <w:top w:w="17" w:type="dxa"/>
              <w:left w:w="17" w:type="dxa"/>
              <w:bottom w:w="0" w:type="dxa"/>
              <w:right w:w="17" w:type="dxa"/>
            </w:tcMar>
            <w:vAlign w:val="center"/>
          </w:tcPr>
          <w:p>
            <w:pPr>
              <w:pStyle w:val="53"/>
            </w:pPr>
            <w:r>
              <w:t>监测点数（个）</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restart"/>
            <w:vAlign w:val="center"/>
          </w:tcPr>
          <w:p>
            <w:pPr>
              <w:pStyle w:val="53"/>
            </w:pPr>
            <w:r>
              <w:t>东区</w:t>
            </w:r>
          </w:p>
        </w:tc>
        <w:tc>
          <w:tcPr>
            <w:tcW w:w="1248" w:type="pct"/>
            <w:tcMar>
              <w:top w:w="17" w:type="dxa"/>
              <w:left w:w="17" w:type="dxa"/>
              <w:bottom w:w="0" w:type="dxa"/>
              <w:right w:w="17" w:type="dxa"/>
            </w:tcMar>
            <w:vAlign w:val="center"/>
          </w:tcPr>
          <w:p>
            <w:pPr>
              <w:pStyle w:val="53"/>
            </w:pPr>
            <w:r>
              <w:t>道路及硬化场地区</w:t>
            </w:r>
          </w:p>
        </w:tc>
        <w:tc>
          <w:tcPr>
            <w:tcW w:w="1720" w:type="pct"/>
            <w:tcMar>
              <w:top w:w="17" w:type="dxa"/>
              <w:left w:w="17" w:type="dxa"/>
              <w:bottom w:w="0" w:type="dxa"/>
              <w:right w:w="17" w:type="dxa"/>
            </w:tcMar>
            <w:vAlign w:val="center"/>
          </w:tcPr>
          <w:p>
            <w:pPr>
              <w:pStyle w:val="53"/>
            </w:pPr>
            <w:r>
              <w:t>沉沙池</w:t>
            </w:r>
          </w:p>
        </w:tc>
        <w:tc>
          <w:tcPr>
            <w:tcW w:w="783" w:type="pct"/>
            <w:tcMar>
              <w:top w:w="17" w:type="dxa"/>
              <w:left w:w="17" w:type="dxa"/>
              <w:bottom w:w="0" w:type="dxa"/>
              <w:right w:w="17" w:type="dxa"/>
            </w:tcMar>
            <w:vAlign w:val="center"/>
          </w:tcPr>
          <w:p>
            <w:pPr>
              <w:pStyle w:val="53"/>
            </w:pPr>
            <w: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continue"/>
            <w:vAlign w:val="center"/>
          </w:tcPr>
          <w:p>
            <w:pPr>
              <w:pStyle w:val="53"/>
            </w:pPr>
          </w:p>
        </w:tc>
        <w:tc>
          <w:tcPr>
            <w:tcW w:w="1248" w:type="pct"/>
            <w:tcMar>
              <w:top w:w="17" w:type="dxa"/>
              <w:left w:w="17" w:type="dxa"/>
              <w:bottom w:w="0" w:type="dxa"/>
              <w:right w:w="17" w:type="dxa"/>
            </w:tcMar>
            <w:vAlign w:val="center"/>
          </w:tcPr>
          <w:p>
            <w:pPr>
              <w:pStyle w:val="53"/>
            </w:pPr>
            <w:r>
              <w:t>临时堆土场区</w:t>
            </w:r>
          </w:p>
        </w:tc>
        <w:tc>
          <w:tcPr>
            <w:tcW w:w="1720" w:type="pct"/>
            <w:tcMar>
              <w:top w:w="17" w:type="dxa"/>
              <w:left w:w="17" w:type="dxa"/>
              <w:bottom w:w="0" w:type="dxa"/>
              <w:right w:w="17" w:type="dxa"/>
            </w:tcMar>
            <w:vAlign w:val="center"/>
          </w:tcPr>
          <w:p>
            <w:pPr>
              <w:pStyle w:val="53"/>
            </w:pPr>
            <w:r>
              <w:t>沉沙池</w:t>
            </w:r>
          </w:p>
        </w:tc>
        <w:tc>
          <w:tcPr>
            <w:tcW w:w="783" w:type="pct"/>
            <w:tcMar>
              <w:top w:w="17" w:type="dxa"/>
              <w:left w:w="17" w:type="dxa"/>
              <w:bottom w:w="0" w:type="dxa"/>
              <w:right w:w="17" w:type="dxa"/>
            </w:tcMar>
            <w:vAlign w:val="center"/>
          </w:tcPr>
          <w:p>
            <w:pPr>
              <w:pStyle w:val="53"/>
            </w:pPr>
            <w: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continue"/>
            <w:vAlign w:val="center"/>
          </w:tcPr>
          <w:p>
            <w:pPr>
              <w:pStyle w:val="53"/>
            </w:pPr>
          </w:p>
        </w:tc>
        <w:tc>
          <w:tcPr>
            <w:tcW w:w="1248" w:type="pct"/>
            <w:tcMar>
              <w:top w:w="17" w:type="dxa"/>
              <w:left w:w="17" w:type="dxa"/>
              <w:bottom w:w="0" w:type="dxa"/>
              <w:right w:w="17" w:type="dxa"/>
            </w:tcMar>
            <w:vAlign w:val="center"/>
          </w:tcPr>
          <w:p>
            <w:pPr>
              <w:pStyle w:val="53"/>
            </w:pPr>
            <w:r>
              <w:t>建筑物工程区</w:t>
            </w:r>
          </w:p>
        </w:tc>
        <w:tc>
          <w:tcPr>
            <w:tcW w:w="1720" w:type="pct"/>
            <w:tcMar>
              <w:top w:w="17" w:type="dxa"/>
              <w:left w:w="17" w:type="dxa"/>
              <w:bottom w:w="0" w:type="dxa"/>
              <w:right w:w="17" w:type="dxa"/>
            </w:tcMar>
            <w:vAlign w:val="center"/>
          </w:tcPr>
          <w:p>
            <w:pPr>
              <w:pStyle w:val="53"/>
            </w:pPr>
            <w:r>
              <w:t>沉沙池</w:t>
            </w:r>
          </w:p>
        </w:tc>
        <w:tc>
          <w:tcPr>
            <w:tcW w:w="783" w:type="pct"/>
            <w:tcMar>
              <w:top w:w="17" w:type="dxa"/>
              <w:left w:w="17" w:type="dxa"/>
              <w:bottom w:w="0" w:type="dxa"/>
              <w:right w:w="17" w:type="dxa"/>
            </w:tcMar>
            <w:vAlign w:val="center"/>
          </w:tcPr>
          <w:p>
            <w:pPr>
              <w:pStyle w:val="53"/>
            </w:pPr>
            <w: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continue"/>
            <w:vAlign w:val="center"/>
          </w:tcPr>
          <w:p>
            <w:pPr>
              <w:pStyle w:val="53"/>
            </w:pPr>
          </w:p>
        </w:tc>
        <w:tc>
          <w:tcPr>
            <w:tcW w:w="1248" w:type="pct"/>
            <w:tcMar>
              <w:top w:w="17" w:type="dxa"/>
              <w:left w:w="17" w:type="dxa"/>
              <w:bottom w:w="0" w:type="dxa"/>
              <w:right w:w="17" w:type="dxa"/>
            </w:tcMar>
            <w:vAlign w:val="center"/>
          </w:tcPr>
          <w:p>
            <w:pPr>
              <w:pStyle w:val="53"/>
            </w:pPr>
            <w:r>
              <w:t>施工场地</w:t>
            </w:r>
          </w:p>
        </w:tc>
        <w:tc>
          <w:tcPr>
            <w:tcW w:w="1720" w:type="pct"/>
            <w:tcMar>
              <w:top w:w="17" w:type="dxa"/>
              <w:left w:w="17" w:type="dxa"/>
              <w:bottom w:w="0" w:type="dxa"/>
              <w:right w:w="17" w:type="dxa"/>
            </w:tcMar>
            <w:vAlign w:val="center"/>
          </w:tcPr>
          <w:p>
            <w:pPr>
              <w:pStyle w:val="53"/>
            </w:pPr>
            <w:r>
              <w:t>沉沙池</w:t>
            </w:r>
          </w:p>
        </w:tc>
        <w:tc>
          <w:tcPr>
            <w:tcW w:w="783" w:type="pct"/>
            <w:tcMar>
              <w:top w:w="17" w:type="dxa"/>
              <w:left w:w="17" w:type="dxa"/>
              <w:bottom w:w="0" w:type="dxa"/>
              <w:right w:w="17" w:type="dxa"/>
            </w:tcMar>
            <w:vAlign w:val="center"/>
          </w:tcPr>
          <w:p>
            <w:pPr>
              <w:pStyle w:val="53"/>
            </w:pPr>
            <w: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continue"/>
            <w:vAlign w:val="center"/>
          </w:tcPr>
          <w:p>
            <w:pPr>
              <w:pStyle w:val="53"/>
            </w:pPr>
          </w:p>
        </w:tc>
        <w:tc>
          <w:tcPr>
            <w:tcW w:w="1248" w:type="pct"/>
            <w:tcMar>
              <w:top w:w="17" w:type="dxa"/>
              <w:left w:w="17" w:type="dxa"/>
              <w:bottom w:w="0" w:type="dxa"/>
              <w:right w:w="17" w:type="dxa"/>
            </w:tcMar>
            <w:vAlign w:val="center"/>
          </w:tcPr>
          <w:p>
            <w:pPr>
              <w:pStyle w:val="53"/>
            </w:pPr>
            <w:r>
              <w:t>合计</w:t>
            </w:r>
          </w:p>
        </w:tc>
        <w:tc>
          <w:tcPr>
            <w:tcW w:w="1720" w:type="pct"/>
            <w:tcMar>
              <w:top w:w="17" w:type="dxa"/>
              <w:left w:w="17" w:type="dxa"/>
              <w:bottom w:w="0" w:type="dxa"/>
              <w:right w:w="17" w:type="dxa"/>
            </w:tcMar>
            <w:vAlign w:val="center"/>
          </w:tcPr>
          <w:p>
            <w:pPr>
              <w:pStyle w:val="53"/>
            </w:pPr>
          </w:p>
        </w:tc>
        <w:tc>
          <w:tcPr>
            <w:tcW w:w="783" w:type="pct"/>
            <w:tcMar>
              <w:top w:w="17" w:type="dxa"/>
              <w:left w:w="17" w:type="dxa"/>
              <w:bottom w:w="0" w:type="dxa"/>
              <w:right w:w="17" w:type="dxa"/>
            </w:tcMar>
            <w:vAlign w:val="center"/>
          </w:tcPr>
          <w:p>
            <w:pPr>
              <w:pStyle w:val="53"/>
            </w:pPr>
            <w:r>
              <w:t>4</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restart"/>
            <w:vAlign w:val="center"/>
          </w:tcPr>
          <w:p>
            <w:pPr>
              <w:pStyle w:val="53"/>
            </w:pPr>
            <w:r>
              <w:t>西区</w:t>
            </w:r>
          </w:p>
        </w:tc>
        <w:tc>
          <w:tcPr>
            <w:tcW w:w="1248" w:type="pct"/>
            <w:tcMar>
              <w:top w:w="17" w:type="dxa"/>
              <w:left w:w="17" w:type="dxa"/>
              <w:bottom w:w="0" w:type="dxa"/>
              <w:right w:w="17" w:type="dxa"/>
            </w:tcMar>
            <w:vAlign w:val="center"/>
          </w:tcPr>
          <w:p>
            <w:pPr>
              <w:pStyle w:val="53"/>
            </w:pPr>
            <w:r>
              <w:t>道路及硬化场地区</w:t>
            </w:r>
          </w:p>
        </w:tc>
        <w:tc>
          <w:tcPr>
            <w:tcW w:w="1720" w:type="pct"/>
            <w:tcMar>
              <w:top w:w="17" w:type="dxa"/>
              <w:left w:w="17" w:type="dxa"/>
              <w:bottom w:w="0" w:type="dxa"/>
              <w:right w:w="17" w:type="dxa"/>
            </w:tcMar>
            <w:vAlign w:val="center"/>
          </w:tcPr>
          <w:p>
            <w:pPr>
              <w:pStyle w:val="53"/>
            </w:pPr>
            <w:r>
              <w:t>沉沙池</w:t>
            </w:r>
          </w:p>
        </w:tc>
        <w:tc>
          <w:tcPr>
            <w:tcW w:w="783" w:type="pct"/>
            <w:tcMar>
              <w:top w:w="17" w:type="dxa"/>
              <w:left w:w="17" w:type="dxa"/>
              <w:bottom w:w="0" w:type="dxa"/>
              <w:right w:w="17" w:type="dxa"/>
            </w:tcMar>
            <w:vAlign w:val="center"/>
          </w:tcPr>
          <w:p>
            <w:pPr>
              <w:pStyle w:val="53"/>
            </w:pPr>
            <w: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continue"/>
            <w:vAlign w:val="center"/>
          </w:tcPr>
          <w:p>
            <w:pPr>
              <w:pStyle w:val="53"/>
            </w:pPr>
          </w:p>
        </w:tc>
        <w:tc>
          <w:tcPr>
            <w:tcW w:w="1248" w:type="pct"/>
            <w:tcMar>
              <w:top w:w="17" w:type="dxa"/>
              <w:left w:w="17" w:type="dxa"/>
              <w:bottom w:w="0" w:type="dxa"/>
              <w:right w:w="17" w:type="dxa"/>
            </w:tcMar>
            <w:vAlign w:val="center"/>
          </w:tcPr>
          <w:p>
            <w:pPr>
              <w:pStyle w:val="53"/>
            </w:pPr>
            <w:r>
              <w:t>临时堆土场区</w:t>
            </w:r>
          </w:p>
        </w:tc>
        <w:tc>
          <w:tcPr>
            <w:tcW w:w="1720" w:type="pct"/>
            <w:tcMar>
              <w:top w:w="17" w:type="dxa"/>
              <w:left w:w="17" w:type="dxa"/>
              <w:bottom w:w="0" w:type="dxa"/>
              <w:right w:w="17" w:type="dxa"/>
            </w:tcMar>
            <w:vAlign w:val="center"/>
          </w:tcPr>
          <w:p>
            <w:pPr>
              <w:pStyle w:val="53"/>
            </w:pPr>
            <w:r>
              <w:t>沉沙池</w:t>
            </w:r>
          </w:p>
        </w:tc>
        <w:tc>
          <w:tcPr>
            <w:tcW w:w="783" w:type="pct"/>
            <w:tcMar>
              <w:top w:w="17" w:type="dxa"/>
              <w:left w:w="17" w:type="dxa"/>
              <w:bottom w:w="0" w:type="dxa"/>
              <w:right w:w="17" w:type="dxa"/>
            </w:tcMar>
            <w:vAlign w:val="center"/>
          </w:tcPr>
          <w:p>
            <w:pPr>
              <w:pStyle w:val="53"/>
            </w:pPr>
            <w: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continue"/>
            <w:vAlign w:val="center"/>
          </w:tcPr>
          <w:p>
            <w:pPr>
              <w:pStyle w:val="53"/>
            </w:pPr>
          </w:p>
        </w:tc>
        <w:tc>
          <w:tcPr>
            <w:tcW w:w="1248" w:type="pct"/>
            <w:tcMar>
              <w:top w:w="17" w:type="dxa"/>
              <w:left w:w="17" w:type="dxa"/>
              <w:bottom w:w="0" w:type="dxa"/>
              <w:right w:w="17" w:type="dxa"/>
            </w:tcMar>
            <w:vAlign w:val="center"/>
          </w:tcPr>
          <w:p>
            <w:pPr>
              <w:pStyle w:val="53"/>
            </w:pPr>
            <w:r>
              <w:t>建筑物工程区</w:t>
            </w:r>
          </w:p>
        </w:tc>
        <w:tc>
          <w:tcPr>
            <w:tcW w:w="1720" w:type="pct"/>
            <w:tcMar>
              <w:top w:w="17" w:type="dxa"/>
              <w:left w:w="17" w:type="dxa"/>
              <w:bottom w:w="0" w:type="dxa"/>
              <w:right w:w="17" w:type="dxa"/>
            </w:tcMar>
            <w:vAlign w:val="center"/>
          </w:tcPr>
          <w:p>
            <w:pPr>
              <w:pStyle w:val="53"/>
            </w:pPr>
            <w:r>
              <w:t>沉沙池</w:t>
            </w:r>
          </w:p>
        </w:tc>
        <w:tc>
          <w:tcPr>
            <w:tcW w:w="783" w:type="pct"/>
            <w:tcMar>
              <w:top w:w="17" w:type="dxa"/>
              <w:left w:w="17" w:type="dxa"/>
              <w:bottom w:w="0" w:type="dxa"/>
              <w:right w:w="17" w:type="dxa"/>
            </w:tcMar>
            <w:vAlign w:val="center"/>
          </w:tcPr>
          <w:p>
            <w:pPr>
              <w:pStyle w:val="53"/>
            </w:pPr>
            <w:r>
              <w:t>1</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1248" w:type="pct"/>
            <w:vMerge w:val="continue"/>
            <w:vAlign w:val="center"/>
          </w:tcPr>
          <w:p>
            <w:pPr>
              <w:pStyle w:val="53"/>
            </w:pPr>
          </w:p>
        </w:tc>
        <w:tc>
          <w:tcPr>
            <w:tcW w:w="1248" w:type="pct"/>
            <w:tcMar>
              <w:top w:w="17" w:type="dxa"/>
              <w:left w:w="17" w:type="dxa"/>
              <w:bottom w:w="0" w:type="dxa"/>
              <w:right w:w="17" w:type="dxa"/>
            </w:tcMar>
            <w:vAlign w:val="center"/>
          </w:tcPr>
          <w:p>
            <w:pPr>
              <w:pStyle w:val="53"/>
            </w:pPr>
            <w:r>
              <w:t>合计</w:t>
            </w:r>
          </w:p>
        </w:tc>
        <w:tc>
          <w:tcPr>
            <w:tcW w:w="1720" w:type="pct"/>
            <w:tcMar>
              <w:top w:w="17" w:type="dxa"/>
              <w:left w:w="17" w:type="dxa"/>
              <w:bottom w:w="0" w:type="dxa"/>
              <w:right w:w="17" w:type="dxa"/>
            </w:tcMar>
            <w:vAlign w:val="center"/>
          </w:tcPr>
          <w:p>
            <w:pPr>
              <w:pStyle w:val="53"/>
            </w:pPr>
          </w:p>
        </w:tc>
        <w:tc>
          <w:tcPr>
            <w:tcW w:w="783" w:type="pct"/>
            <w:tcMar>
              <w:top w:w="17" w:type="dxa"/>
              <w:left w:w="17" w:type="dxa"/>
              <w:bottom w:w="0" w:type="dxa"/>
              <w:right w:w="17" w:type="dxa"/>
            </w:tcMar>
            <w:vAlign w:val="center"/>
          </w:tcPr>
          <w:p>
            <w:pPr>
              <w:pStyle w:val="53"/>
            </w:pPr>
            <w:r>
              <w:t>3</w:t>
            </w:r>
          </w:p>
        </w:tc>
      </w:tr>
    </w:tbl>
    <w:p>
      <w:pPr>
        <w:pStyle w:val="61"/>
        <w:spacing w:line="360" w:lineRule="auto"/>
        <w:ind w:firstLine="480"/>
        <w:rPr>
          <w:rFonts w:cs="仿宋_GB2312"/>
        </w:rPr>
      </w:pPr>
    </w:p>
    <w:p>
      <w:pPr>
        <w:pStyle w:val="61"/>
        <w:spacing w:line="360" w:lineRule="auto"/>
        <w:ind w:firstLine="422"/>
        <w:jc w:val="center"/>
        <w:rPr>
          <w:rFonts w:cs="仿宋_GB2312"/>
        </w:rPr>
      </w:pPr>
      <w:r>
        <w:rPr>
          <w:rFonts w:hint="eastAsia" w:eastAsia="仿宋_GB2312"/>
          <w:b/>
          <w:sz w:val="21"/>
          <w:szCs w:val="32"/>
        </w:rPr>
        <w:t>表</w:t>
      </w:r>
      <w:r>
        <w:rPr>
          <w:rFonts w:hint="eastAsia"/>
          <w:b/>
          <w:sz w:val="21"/>
          <w:szCs w:val="32"/>
        </w:rPr>
        <w:t xml:space="preserve">6-2 </w:t>
      </w:r>
      <w:r>
        <w:rPr>
          <w:rFonts w:eastAsia="仿宋_GB2312"/>
          <w:b/>
          <w:sz w:val="21"/>
          <w:szCs w:val="32"/>
        </w:rPr>
        <w:t xml:space="preserve"> </w:t>
      </w:r>
      <w:r>
        <w:rPr>
          <w:rFonts w:hint="eastAsia" w:eastAsia="仿宋_GB2312"/>
          <w:b/>
          <w:sz w:val="21"/>
          <w:szCs w:val="32"/>
        </w:rPr>
        <w:t>水土保持指标完成情况</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指标</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设计值</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完成值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扰动土地整治率</w:t>
            </w:r>
            <w:r>
              <w:rPr>
                <w:rFonts w:hint="eastAsia"/>
                <w:lang w:val="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pPr>
            <w:r>
              <w:rPr>
                <w:rFonts w:hint="eastAsia"/>
              </w:rPr>
              <w:t>97</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53"/>
            </w:pPr>
            <w:r>
              <w:rPr>
                <w:rFonts w:hint="eastAsia"/>
              </w:rPr>
              <w:t>98.78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水土流失治理度</w:t>
            </w:r>
            <w:r>
              <w:rPr>
                <w:rFonts w:hint="eastAsia"/>
                <w:lang w:val="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rFonts w:hint="eastAsia"/>
                <w:lang w:val="zh-CN"/>
              </w:rPr>
              <w:t>97</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53"/>
            </w:pPr>
            <w:r>
              <w:rPr>
                <w:rFonts w:hint="eastAsia"/>
              </w:rPr>
              <w:t>97.58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水土流失控制比</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pPr>
            <w:r>
              <w:rPr>
                <w:lang w:val="zh-CN"/>
              </w:rPr>
              <w:t>1</w:t>
            </w:r>
            <w:r>
              <w:rPr>
                <w:rFonts w:hint="eastAsia"/>
              </w:rPr>
              <w:t>.1</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53"/>
            </w:pPr>
            <w:r>
              <w:rPr>
                <w:rFonts w:hint="eastAsi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拦渣率</w:t>
            </w:r>
            <w:r>
              <w:rPr>
                <w:rFonts w:hint="eastAsia"/>
                <w:lang w:val="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pPr>
            <w:r>
              <w:rPr>
                <w:lang w:val="zh-CN"/>
              </w:rPr>
              <w:t>9</w:t>
            </w:r>
            <w:r>
              <w:rPr>
                <w:rFonts w:hint="eastAsia"/>
              </w:rPr>
              <w:t>5</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53"/>
            </w:pPr>
            <w:r>
              <w:rPr>
                <w:lang w:val="zh-CN"/>
              </w:rPr>
              <w:t>9</w:t>
            </w:r>
            <w:r>
              <w:rPr>
                <w:rFonts w:hint="eastAsia"/>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林草植被恢复率</w:t>
            </w:r>
            <w:r>
              <w:rPr>
                <w:rFonts w:hint="eastAsia"/>
                <w:lang w:val="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pPr>
            <w:r>
              <w:rPr>
                <w:lang w:val="zh-CN"/>
              </w:rPr>
              <w:t>9</w:t>
            </w:r>
            <w:r>
              <w:rPr>
                <w:rFonts w:hint="eastAsia"/>
              </w:rPr>
              <w:t>9</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53"/>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rPr>
                <w:lang w:val="zh-CN"/>
              </w:rPr>
            </w:pPr>
            <w:r>
              <w:rPr>
                <w:lang w:val="zh-CN"/>
              </w:rPr>
              <w:t>林草覆盖度</w:t>
            </w:r>
            <w:r>
              <w:rPr>
                <w:rFonts w:hint="eastAsia"/>
                <w:lang w:val="zh-CN"/>
              </w:rPr>
              <w:t>（%）</w:t>
            </w:r>
          </w:p>
        </w:tc>
        <w:tc>
          <w:tcPr>
            <w:tcW w:w="2765" w:type="dxa"/>
            <w:tcBorders>
              <w:top w:val="single" w:color="auto" w:sz="4" w:space="0"/>
              <w:left w:val="single" w:color="auto" w:sz="4" w:space="0"/>
              <w:bottom w:val="single" w:color="auto" w:sz="4" w:space="0"/>
              <w:right w:val="single" w:color="auto" w:sz="4" w:space="0"/>
            </w:tcBorders>
            <w:shd w:val="clear" w:color="auto" w:fill="auto"/>
          </w:tcPr>
          <w:p>
            <w:pPr>
              <w:pStyle w:val="53"/>
            </w:pPr>
            <w:r>
              <w:rPr>
                <w:lang w:val="zh-CN"/>
              </w:rPr>
              <w:t>2</w:t>
            </w:r>
            <w:r>
              <w:rPr>
                <w:rFonts w:hint="eastAsia"/>
              </w:rPr>
              <w:t>7</w:t>
            </w:r>
          </w:p>
        </w:tc>
        <w:tc>
          <w:tcPr>
            <w:tcW w:w="2766" w:type="dxa"/>
            <w:tcBorders>
              <w:top w:val="single" w:color="auto" w:sz="4" w:space="0"/>
              <w:left w:val="single" w:color="auto" w:sz="4" w:space="0"/>
              <w:bottom w:val="single" w:color="auto" w:sz="4" w:space="0"/>
              <w:right w:val="single" w:color="auto" w:sz="4" w:space="0"/>
            </w:tcBorders>
            <w:shd w:val="clear" w:color="auto" w:fill="auto"/>
          </w:tcPr>
          <w:p>
            <w:pPr>
              <w:pStyle w:val="53"/>
            </w:pPr>
            <w:r>
              <w:rPr>
                <w:rFonts w:hint="eastAsia"/>
              </w:rPr>
              <w:t>35.4</w:t>
            </w:r>
          </w:p>
        </w:tc>
      </w:tr>
    </w:tbl>
    <w:p>
      <w:pPr>
        <w:pStyle w:val="61"/>
        <w:spacing w:line="360" w:lineRule="auto"/>
        <w:ind w:firstLine="480"/>
        <w:rPr>
          <w:rFonts w:cs="仿宋_GB2312"/>
        </w:rPr>
      </w:pPr>
    </w:p>
    <w:p>
      <w:pPr>
        <w:pStyle w:val="4"/>
        <w:ind w:firstLine="562"/>
      </w:pPr>
      <w:bookmarkStart w:id="126" w:name="_Toc11704"/>
      <w:bookmarkStart w:id="127" w:name="_Toc453511093"/>
      <w:r>
        <w:t>6.</w:t>
      </w:r>
      <w:r>
        <w:rPr>
          <w:rFonts w:hint="eastAsia"/>
        </w:rPr>
        <w:t>5</w:t>
      </w:r>
      <w:r>
        <w:t xml:space="preserve"> </w:t>
      </w:r>
      <w:r>
        <w:rPr>
          <w:rFonts w:hint="eastAsia"/>
        </w:rPr>
        <w:t>水土保持</w:t>
      </w:r>
      <w:r>
        <w:t>监理</w:t>
      </w:r>
      <w:bookmarkEnd w:id="126"/>
      <w:bookmarkEnd w:id="127"/>
    </w:p>
    <w:p>
      <w:pPr>
        <w:ind w:firstLine="480"/>
      </w:pPr>
      <w:r>
        <w:t>根据《关于加强大中型开发建设项目水土保持监理工作的通知》（水保[2003]89号）的规定，</w:t>
      </w:r>
      <w:r>
        <w:rPr>
          <w:rFonts w:hint="eastAsia"/>
        </w:rPr>
        <w:t>武汉楚天都市置业有限公司</w:t>
      </w:r>
      <w:r>
        <w:t>委托</w:t>
      </w:r>
      <w:r>
        <w:rPr>
          <w:rFonts w:hint="eastAsia"/>
        </w:rPr>
        <w:t>北京中协成建设监理有限责任公司</w:t>
      </w:r>
      <w:r>
        <w:t>承担了本项目主体工程暨水土保持工程监理工作，施工监理工作开始于</w:t>
      </w:r>
      <w:r>
        <w:rPr>
          <w:rFonts w:hint="eastAsia"/>
        </w:rPr>
        <w:t>2015年7月</w:t>
      </w:r>
      <w:r>
        <w:t>。</w:t>
      </w:r>
    </w:p>
    <w:p>
      <w:pPr>
        <w:ind w:firstLine="480"/>
      </w:pPr>
      <w:r>
        <w:rPr>
          <w:rFonts w:hint="eastAsia"/>
        </w:rPr>
        <w:t>工程开工前，监理中心水土保持监理工程师根据工程项目特点，针对各种环境有害因素．制定水土保持“三同时”监理控制计划，并制定详细的监理实施细则。依据相关法律法规规定和合同要求，工程开工后督促施工单位严格执行水土保持“三同时”制度，使其满足合同文件要求；督促施工单位实施各项水土保持措施、严格按设计要求和施工规范组织施工。</w:t>
      </w:r>
    </w:p>
    <w:p>
      <w:pPr>
        <w:pStyle w:val="41"/>
        <w:ind w:firstLine="480"/>
        <w:rPr>
          <w:iCs w:val="0"/>
        </w:rPr>
      </w:pPr>
      <w:r>
        <w:rPr>
          <w:rFonts w:hint="eastAsia"/>
          <w:iCs w:val="0"/>
        </w:rPr>
        <w:t>水土保持项目实施过程中，监理中心对承包人定期进行水土保持方面的教育，采取定期和不定期的水土保持检查、监督和指导，发现问题及时下发整改指令、对于严重违规行为进行处罚等方法。从而遏制了水土保持违规违约行为，保证了水土保持措施的落实。</w:t>
      </w:r>
    </w:p>
    <w:p>
      <w:pPr>
        <w:pStyle w:val="41"/>
        <w:ind w:firstLine="480"/>
        <w:rPr>
          <w:iCs w:val="0"/>
        </w:rPr>
      </w:pPr>
      <w:r>
        <w:rPr>
          <w:rFonts w:hint="eastAsia"/>
          <w:iCs w:val="0"/>
        </w:rPr>
        <w:t>1、监理制度</w:t>
      </w:r>
    </w:p>
    <w:p>
      <w:pPr>
        <w:pStyle w:val="41"/>
        <w:ind w:firstLine="480"/>
        <w:rPr>
          <w:iCs w:val="0"/>
        </w:rPr>
      </w:pPr>
      <w:r>
        <w:rPr>
          <w:rFonts w:hint="eastAsia"/>
          <w:iCs w:val="0"/>
        </w:rPr>
        <w:t>为了保证各项措施的落实：监理单位制定了各项工作制度，主要包括措施审查制度、监督检查制度、工作记录制度、工作报告制度、书面确认制度、例会和专题会制度。</w:t>
      </w:r>
    </w:p>
    <w:p>
      <w:pPr>
        <w:pStyle w:val="41"/>
        <w:ind w:firstLine="480"/>
        <w:rPr>
          <w:iCs w:val="0"/>
        </w:rPr>
      </w:pPr>
      <w:r>
        <w:rPr>
          <w:rFonts w:hint="eastAsia"/>
          <w:iCs w:val="0"/>
        </w:rPr>
        <w:t>2、监理内容</w:t>
      </w:r>
    </w:p>
    <w:p>
      <w:pPr>
        <w:pStyle w:val="41"/>
        <w:ind w:firstLine="480"/>
        <w:rPr>
          <w:iCs w:val="0"/>
        </w:rPr>
      </w:pPr>
      <w:r>
        <w:rPr>
          <w:rFonts w:hint="eastAsia"/>
          <w:iCs w:val="0"/>
        </w:rPr>
        <w:t>根据楚天都市沁园建设项目施工监理合同范围内水土保持项目工作内容和特点，监理单位有针对性的实施了进度、质量、投资及安全控制，主要包括以下方面内容：</w:t>
      </w:r>
    </w:p>
    <w:p>
      <w:pPr>
        <w:pStyle w:val="41"/>
        <w:ind w:firstLine="480"/>
        <w:rPr>
          <w:iCs w:val="0"/>
        </w:rPr>
      </w:pPr>
      <w:r>
        <w:rPr>
          <w:rFonts w:hint="eastAsia"/>
          <w:iCs w:val="0"/>
        </w:rPr>
        <w:t>（1）督促承包人建立完善的水上保持管理休系。</w:t>
      </w:r>
    </w:p>
    <w:p>
      <w:pPr>
        <w:pStyle w:val="41"/>
        <w:ind w:firstLine="480"/>
        <w:rPr>
          <w:iCs w:val="0"/>
        </w:rPr>
      </w:pPr>
      <w:r>
        <w:rPr>
          <w:rFonts w:hint="eastAsia"/>
          <w:iCs w:val="0"/>
        </w:rPr>
        <w:t>（2）审批承包人所报的水土保持措施：对水土保持措施的落实进行全而监控，对专项水土保持设施建设进行全过程现场监理，防止和减轻水土流失。</w:t>
      </w:r>
    </w:p>
    <w:p>
      <w:pPr>
        <w:pStyle w:val="41"/>
        <w:ind w:firstLine="480"/>
        <w:rPr>
          <w:iCs w:val="0"/>
        </w:rPr>
      </w:pPr>
      <w:r>
        <w:rPr>
          <w:rFonts w:hint="eastAsia"/>
          <w:iCs w:val="0"/>
        </w:rPr>
        <w:t>（3）参加有关水土保持工作例会及有关水土保持管理、工程检杳、工程验收等活动；组织召开水土保持问题现场协调会。</w:t>
      </w:r>
    </w:p>
    <w:p>
      <w:pPr>
        <w:pStyle w:val="41"/>
        <w:ind w:firstLine="480"/>
        <w:rPr>
          <w:iCs w:val="0"/>
        </w:rPr>
      </w:pPr>
      <w:r>
        <w:rPr>
          <w:rFonts w:hint="eastAsia"/>
          <w:iCs w:val="0"/>
        </w:rPr>
        <w:t>（4）审核合同文件中的技术条款，对文件合规性提出审核意见。</w:t>
      </w:r>
    </w:p>
    <w:p>
      <w:pPr>
        <w:pStyle w:val="41"/>
        <w:ind w:firstLine="480"/>
        <w:rPr>
          <w:iCs w:val="0"/>
        </w:rPr>
      </w:pPr>
      <w:r>
        <w:rPr>
          <w:rFonts w:hint="eastAsia"/>
          <w:iCs w:val="0"/>
        </w:rPr>
        <w:t>（5）督促监测单位提交监测实施方案，并对其监测内容的完整性、监测技术的合规性、监测程序的合理性、监测方法的可操作性进行审核、批准．</w:t>
      </w:r>
    </w:p>
    <w:p>
      <w:pPr>
        <w:pStyle w:val="41"/>
        <w:ind w:firstLine="480"/>
        <w:rPr>
          <w:iCs w:val="0"/>
        </w:rPr>
      </w:pPr>
      <w:r>
        <w:rPr>
          <w:rFonts w:hint="eastAsia"/>
          <w:iCs w:val="0"/>
        </w:rPr>
        <w:t>（6）审核监测报告，及时反馈审核意见，督促监测机构按审核意见修改和完善。</w:t>
      </w:r>
    </w:p>
    <w:p>
      <w:pPr>
        <w:pStyle w:val="41"/>
        <w:ind w:firstLine="480"/>
        <w:rPr>
          <w:iCs w:val="0"/>
        </w:rPr>
      </w:pPr>
      <w:r>
        <w:rPr>
          <w:rFonts w:hint="eastAsia"/>
          <w:iCs w:val="0"/>
        </w:rPr>
        <w:t>（7）针对每期监测报告中提出的问题和要求，结合现场实际情况，向业主提出水土保持措施的施工进度、工程设施质量和维护管理等工作建议，通过业主部门的工作协调，加快水土保持措施施工进度、加强工程设施质量管理和维护管理，确保水土保持设施的建设和运行满足相关要求。</w:t>
      </w:r>
    </w:p>
    <w:p>
      <w:pPr>
        <w:pStyle w:val="41"/>
        <w:ind w:firstLine="480"/>
        <w:rPr>
          <w:iCs w:val="0"/>
        </w:rPr>
      </w:pPr>
      <w:r>
        <w:rPr>
          <w:rFonts w:hint="eastAsia"/>
          <w:iCs w:val="0"/>
        </w:rPr>
        <w:t>（8）监理过程记录、影像和过程管理资料整理及归档。</w:t>
      </w:r>
    </w:p>
    <w:p>
      <w:pPr>
        <w:pStyle w:val="41"/>
        <w:snapToGrid/>
        <w:ind w:firstLine="480"/>
        <w:rPr>
          <w:iCs w:val="0"/>
        </w:rPr>
      </w:pPr>
      <w:r>
        <w:rPr>
          <w:rFonts w:hint="eastAsia"/>
          <w:iCs w:val="0"/>
        </w:rPr>
        <w:t>3、监理过程</w:t>
      </w:r>
    </w:p>
    <w:p>
      <w:pPr>
        <w:pStyle w:val="41"/>
        <w:snapToGrid/>
        <w:ind w:firstLine="480"/>
        <w:rPr>
          <w:iCs w:val="0"/>
        </w:rPr>
      </w:pPr>
      <w:r>
        <w:rPr>
          <w:rFonts w:hint="eastAsia"/>
          <w:iCs w:val="0"/>
        </w:rPr>
        <w:t>根据合同约定和工程进度要求，主要进行施工现场监理工作。监理工作严格依据现行规范和标准、施工图、施工承包合同、监理服务合同，执行“三控制、两管理、一协调”的监理工作。本工程监理工作范围为工程实际项目建设区，包括主体工程区、主体渣场区、料场区、施工生产生活区、场内公路区和对外交通工程区等。各监理单位在监理工作中以质量控制为核心，水土保持监理工作方式以巡视为主，旁站为辅，并辅以必要的仪器监测。监理工作中对开工申请、工序质量、中间交工等采取严格检查的方法进行监督与控制；对于重要部位、关键工序、隐蔽工程等，实施全过程、全方位、全天候的旁站监理制度，要求旁站人在施工现场必须坚守岗位，尽职尽责，对施工质量进行全面监控，检查承包人的各种施工原始记录并确认，记录好质量监理日志和台帐。巡视过程中若发现问题，水土保持监理工程师即要求承包人限期整改；整改过程中，水土保持监理工程师及时跟踪、检查。</w:t>
      </w:r>
    </w:p>
    <w:p>
      <w:pPr>
        <w:pStyle w:val="41"/>
        <w:snapToGrid/>
        <w:ind w:firstLine="480"/>
        <w:rPr>
          <w:iCs w:val="0"/>
        </w:rPr>
      </w:pPr>
      <w:r>
        <w:rPr>
          <w:rFonts w:hint="eastAsia"/>
          <w:iCs w:val="0"/>
        </w:rPr>
        <w:t>合同是施工监理开展工作的依据。监理工程师无论是进行质量控制，还是进行进度控制或计量支付，均按合同要求进行监理工作。合同执行过程中，监理工程师督促合同双方全面履行合同，公正地解决工程变更问题。工程完工后，监理单位提交了 《楚天都市沁园建设项目水土保持监理总结报告》。</w:t>
      </w:r>
    </w:p>
    <w:p>
      <w:pPr>
        <w:pStyle w:val="41"/>
        <w:snapToGrid/>
        <w:ind w:firstLine="480"/>
        <w:rPr>
          <w:iCs w:val="0"/>
        </w:rPr>
      </w:pPr>
      <w:r>
        <w:rPr>
          <w:rFonts w:hint="eastAsia"/>
          <w:iCs w:val="0"/>
        </w:rPr>
        <w:t>通过查阅工程监理规划和水土保持监理工作总结报告，监理单位根据工程实际情祝，制定了较合理的监理方案，采用合理可行、可操作性强的监理方法开展监理工作；监理成果为水行政部门的监督检查和工程水土保持专项竣工验收提供了数据基础。</w:t>
      </w:r>
    </w:p>
    <w:p>
      <w:pPr>
        <w:ind w:firstLine="480"/>
        <w:rPr>
          <w:rFonts w:eastAsia="仿宋_GB2312"/>
        </w:rPr>
      </w:pPr>
      <w:r>
        <w:rPr>
          <w:rFonts w:hint="eastAsia" w:eastAsia="仿宋_GB2312"/>
        </w:rPr>
        <w:t>4、监理效果</w:t>
      </w:r>
    </w:p>
    <w:p>
      <w:pPr>
        <w:pStyle w:val="41"/>
        <w:snapToGrid/>
        <w:ind w:firstLine="480"/>
        <w:rPr>
          <w:iCs w:val="0"/>
        </w:rPr>
      </w:pPr>
      <w:r>
        <w:rPr>
          <w:rFonts w:hint="eastAsia"/>
          <w:iCs w:val="0"/>
        </w:rPr>
        <w:t>由于监理工程师质量控制工作到位，边坡绿化工程，渣场防护、土地整治及植被恢复工程、料场土地整治及植被恢复工程、施工生产生活区土地整治及植被恢复工程、场内公路区绿化工程、土地整治及植被恢复等施工质量均满足要求，合格率100%。由于监理工程师质量控制工作到位，各防护工程均按照合同要求执行，进度满足要求，投资合理，均未发生安全事故、安全文明施工情况良好，安全工作处于受控状态。</w:t>
      </w:r>
    </w:p>
    <w:p>
      <w:pPr>
        <w:pStyle w:val="41"/>
        <w:snapToGrid/>
        <w:ind w:firstLine="480"/>
        <w:rPr>
          <w:iCs w:val="0"/>
        </w:rPr>
      </w:pPr>
      <w:r>
        <w:rPr>
          <w:rFonts w:hint="eastAsia"/>
          <w:iCs w:val="0"/>
        </w:rPr>
        <w:t>5、监理总体评价</w:t>
      </w:r>
    </w:p>
    <w:p>
      <w:pPr>
        <w:pStyle w:val="41"/>
        <w:snapToGrid/>
        <w:ind w:firstLine="480"/>
        <w:rPr>
          <w:iCs w:val="0"/>
        </w:rPr>
      </w:pPr>
      <w:r>
        <w:rPr>
          <w:rFonts w:hint="eastAsia"/>
          <w:iCs w:val="0"/>
        </w:rPr>
        <w:t>工程施工过程中，水土保持监理工程师严格执行国家水土保持法律法规和楚天都市沁园建设项目有关水土保持的规定及合同要求，严格落实了水土保持管理制度和相应措施，最大限度避免或减少水土流失影响，水土保持项目符合设计要求，各项水土保持指标符合相关要求和标准。</w:t>
      </w:r>
    </w:p>
    <w:p>
      <w:pPr>
        <w:pStyle w:val="4"/>
        <w:ind w:firstLine="562"/>
      </w:pPr>
      <w:bookmarkStart w:id="128" w:name="_Toc6883"/>
      <w:r>
        <w:rPr>
          <w:rFonts w:hint="eastAsia"/>
        </w:rPr>
        <w:t>6.6 水行政主管部门监督检查意见落实情况</w:t>
      </w:r>
      <w:bookmarkEnd w:id="128"/>
    </w:p>
    <w:p>
      <w:pPr>
        <w:ind w:firstLine="480"/>
      </w:pPr>
      <w:r>
        <w:rPr>
          <w:rFonts w:hint="eastAsia"/>
        </w:rPr>
        <w:t>2016年9月，武汉市洪山区水务局水利水保处对楚天都市沁园建设项目水土保持措施落实情况进行检查。通过检查，要求武汉楚天都市置业有限公司对未及时设置拦挡及苫盖的临时堆土区进行拦挡及苫盖处理，并对不符合水保要求的截排水设施进行完善。</w:t>
      </w:r>
    </w:p>
    <w:p>
      <w:pPr>
        <w:ind w:firstLine="480"/>
      </w:pPr>
      <w:r>
        <w:rPr>
          <w:rFonts w:hint="eastAsia"/>
        </w:rPr>
        <w:t>整改情况：武汉楚天都市置业有限公司按照整改要求，严格要求施工单位针对临时堆土区的拦挡及苫盖进行完善，并将不符合要求的截排水设施进一步改进，有效防治了水土流失。</w:t>
      </w:r>
    </w:p>
    <w:p>
      <w:pPr>
        <w:pStyle w:val="4"/>
        <w:ind w:firstLine="562"/>
      </w:pPr>
      <w:bookmarkStart w:id="129" w:name="_Toc17273"/>
      <w:r>
        <w:rPr>
          <w:rFonts w:hint="eastAsia"/>
        </w:rPr>
        <w:t>6.7</w:t>
      </w:r>
      <w:r>
        <w:t>水土保持补偿费缴纳情况</w:t>
      </w:r>
      <w:bookmarkEnd w:id="129"/>
    </w:p>
    <w:p>
      <w:pPr>
        <w:ind w:firstLine="480"/>
        <w:rPr>
          <w:highlight w:val="yellow"/>
        </w:rPr>
      </w:pPr>
      <w:r>
        <w:t>根据</w:t>
      </w:r>
      <w:r>
        <w:rPr>
          <w:rFonts w:hint="eastAsia"/>
        </w:rPr>
        <w:t>武汉市洪山区水务局对《武汉楚天都市置业有限公司水土保持方案报告书》</w:t>
      </w:r>
      <w:r>
        <w:rPr>
          <w:rFonts w:hint="eastAsia" w:cs="仿宋"/>
        </w:rPr>
        <w:t>的</w:t>
      </w:r>
      <w:r>
        <w:t>批复，本项目</w:t>
      </w:r>
      <w:r>
        <w:rPr>
          <w:rFonts w:hint="eastAsia"/>
        </w:rPr>
        <w:t>已缴纳</w:t>
      </w:r>
      <w:r>
        <w:t>水土保持补偿费</w:t>
      </w:r>
      <w:r>
        <w:rPr>
          <w:rFonts w:hint="eastAsia"/>
        </w:rPr>
        <w:t>14万元</w:t>
      </w:r>
      <w:r>
        <w:t>。</w:t>
      </w:r>
    </w:p>
    <w:p>
      <w:pPr>
        <w:pStyle w:val="4"/>
        <w:ind w:firstLine="562"/>
      </w:pPr>
      <w:bookmarkStart w:id="130" w:name="_Toc24225"/>
      <w:r>
        <w:t>6.</w:t>
      </w:r>
      <w:r>
        <w:rPr>
          <w:rFonts w:hint="eastAsia"/>
        </w:rPr>
        <w:t>8</w:t>
      </w:r>
      <w:r>
        <w:t xml:space="preserve"> 水土保持设施管理维护</w:t>
      </w:r>
      <w:bookmarkEnd w:id="130"/>
    </w:p>
    <w:p>
      <w:pPr>
        <w:pStyle w:val="5"/>
        <w:ind w:firstLine="562"/>
      </w:pPr>
      <w:bookmarkStart w:id="131" w:name="_Toc529379744"/>
      <w:bookmarkStart w:id="132" w:name="_Toc352596160"/>
      <w:bookmarkStart w:id="133" w:name="_Toc4927"/>
      <w:bookmarkStart w:id="134" w:name="_Toc529801432"/>
      <w:bookmarkStart w:id="135" w:name="_Toc441436696"/>
      <w:r>
        <w:t>6.</w:t>
      </w:r>
      <w:r>
        <w:rPr>
          <w:rFonts w:hint="eastAsia"/>
        </w:rPr>
        <w:t>8</w:t>
      </w:r>
      <w:r>
        <w:t>.1 工程建设管理</w:t>
      </w:r>
      <w:bookmarkEnd w:id="131"/>
      <w:bookmarkEnd w:id="132"/>
      <w:bookmarkEnd w:id="133"/>
      <w:bookmarkEnd w:id="134"/>
      <w:bookmarkEnd w:id="135"/>
    </w:p>
    <w:p>
      <w:pPr>
        <w:ind w:firstLine="480"/>
      </w:pPr>
      <w:r>
        <w:t>在工程建设中，</w:t>
      </w:r>
      <w:r>
        <w:rPr>
          <w:rFonts w:hint="eastAsia"/>
        </w:rPr>
        <w:t>建设单位十分</w:t>
      </w:r>
      <w:r>
        <w:t>重视对水土保持工作的管理，严格执行水土保持设施竣工验收制度。同时，规范各参建单位水土保持方面工作，逐级落实责任制，加大宣传教育力度，确保水土保持方面的资金足额到位，水土保持措施防护到位，有效地保护项目区水土资源和生态环境。</w:t>
      </w:r>
    </w:p>
    <w:p>
      <w:pPr>
        <w:ind w:firstLine="480"/>
      </w:pPr>
      <w:r>
        <w:t>根据工程建设管理实际，</w:t>
      </w:r>
      <w:r>
        <w:rPr>
          <w:rFonts w:hint="eastAsia"/>
        </w:rPr>
        <w:t>建设单位</w:t>
      </w:r>
      <w:r>
        <w:t>成立了本项目经理部（简称业主项目部）。依据合同关系，业主项目部负责管理监理部、施工单位项目部。业主项目部对基层建管部、设计、施工、监理以及物资公司进行总体协调。</w:t>
      </w:r>
    </w:p>
    <w:p>
      <w:pPr>
        <w:ind w:firstLine="480"/>
      </w:pPr>
      <w:r>
        <w:t>针对工程的水土保持工作，确定了建设部负责水土保持设施的建设和管理，并落实专责人员。在项目建设过程中，严格执行项目法人制、招投标制、建设监理制、合同管理制。</w:t>
      </w:r>
    </w:p>
    <w:p>
      <w:pPr>
        <w:ind w:firstLine="480"/>
      </w:pPr>
      <w:r>
        <w:t>主体工程中的水土保持工程以及新增的水土保持工程没有进行独立设计与施工，而是与主体工程一起进行初步设计和施工图设计，纳入招投标范围和主体工程一起实行了总承包。施工单位对场地回填和临时设施的建设等进行严格有效的管理，采取必要的防护措施，及时按照有关水土保持设计要求进行防护，尽可能地减少水土流失。</w:t>
      </w:r>
    </w:p>
    <w:p>
      <w:pPr>
        <w:pStyle w:val="5"/>
        <w:ind w:firstLine="562"/>
      </w:pPr>
      <w:bookmarkStart w:id="136" w:name="_Toc529801433"/>
      <w:bookmarkStart w:id="137" w:name="_Toc28755"/>
      <w:bookmarkStart w:id="138" w:name="_Toc529379745"/>
      <w:bookmarkStart w:id="139" w:name="_Toc441436697"/>
      <w:bookmarkStart w:id="140" w:name="_Toc352596161"/>
      <w:r>
        <w:t>6.</w:t>
      </w:r>
      <w:r>
        <w:rPr>
          <w:rFonts w:hint="eastAsia"/>
        </w:rPr>
        <w:t>8</w:t>
      </w:r>
      <w:r>
        <w:t>.2工程质量管理</w:t>
      </w:r>
      <w:bookmarkEnd w:id="136"/>
      <w:bookmarkEnd w:id="137"/>
      <w:bookmarkEnd w:id="138"/>
      <w:bookmarkEnd w:id="139"/>
      <w:bookmarkEnd w:id="140"/>
    </w:p>
    <w:p>
      <w:pPr>
        <w:ind w:firstLine="480"/>
      </w:pPr>
      <w:r>
        <w:rPr>
          <w:rFonts w:hint="eastAsia"/>
        </w:rPr>
        <w:t>建设单位</w:t>
      </w:r>
      <w:r>
        <w:t>在质量管理方面牢固树立“质量第一”的思想观念，将水土保持工程作为质量管理的一个重要内容进行监管，努力将本工程建设成“安全、环保、舒适、和谐”的能源工程。</w:t>
      </w:r>
    </w:p>
    <w:p>
      <w:pPr>
        <w:ind w:firstLine="480"/>
      </w:pPr>
      <w:r>
        <w:t>附属主体工程的水土保持工程和新增水土保持工程纳入招投标和施工单位编制的施工组织设计中，和主体工程一起实行总承包，与主体工程同步建设。因此，水土保持设施与主体工程采取同样的设计管理和施工质量管理，设计单位、施工单位、监理单位和质检单位对质量控制、质量监督和质量评定及验收都十分规范。工程施工单位对工程区开挖、开挖方堆填和临时设施的建设等均进行严格有效的管理，尽可能地减少水土流失。绿化方面，施工单位克服旱情严重、土质恶劣等不利影响，加强肥土回填，定期浇水等措施，使林草成活率达到97%以上。通过建设单位、监理单位的认真、负责、公正、有效地工作，工程质量管理方面产生的效果良好，水土保持设施全部合格，无大的水土流失事件发生。</w:t>
      </w:r>
    </w:p>
    <w:p>
      <w:pPr>
        <w:pStyle w:val="5"/>
        <w:ind w:firstLine="562"/>
      </w:pPr>
      <w:bookmarkStart w:id="141" w:name="_Toc529379746"/>
      <w:bookmarkStart w:id="142" w:name="_Toc441436698"/>
      <w:bookmarkStart w:id="143" w:name="_Toc352596162"/>
      <w:bookmarkStart w:id="144" w:name="_Toc27387"/>
      <w:bookmarkStart w:id="145" w:name="_Toc529801434"/>
      <w:r>
        <w:t>6.</w:t>
      </w:r>
      <w:r>
        <w:rPr>
          <w:rFonts w:hint="eastAsia"/>
        </w:rPr>
        <w:t>8</w:t>
      </w:r>
      <w:r>
        <w:t>.3工程后续管理</w:t>
      </w:r>
      <w:bookmarkEnd w:id="141"/>
      <w:bookmarkEnd w:id="142"/>
      <w:bookmarkEnd w:id="143"/>
      <w:bookmarkEnd w:id="144"/>
      <w:bookmarkEnd w:id="145"/>
    </w:p>
    <w:p>
      <w:pPr>
        <w:ind w:firstLine="480"/>
      </w:pPr>
      <w:r>
        <w:t>重视水土保持设施的管理养护工作，由计划建设部具体牵头承办。试运行期的管护由施工单位承担至竣工验收，工程竣工后交付给</w:t>
      </w:r>
      <w:r>
        <w:rPr>
          <w:rFonts w:hint="eastAsia"/>
        </w:rPr>
        <w:t>建设单位</w:t>
      </w:r>
      <w:r>
        <w:t>负责运行管理。</w:t>
      </w:r>
    </w:p>
    <w:p>
      <w:pPr>
        <w:ind w:firstLine="480"/>
        <w:sectPr>
          <w:headerReference r:id="rId16" w:type="default"/>
          <w:pgSz w:w="11906" w:h="16838"/>
          <w:pgMar w:top="1587" w:right="1587" w:bottom="1587" w:left="1587" w:header="567" w:footer="567" w:gutter="0"/>
          <w:cols w:space="720" w:num="1"/>
          <w:docGrid w:type="lines" w:linePitch="312" w:charSpace="0"/>
        </w:sectPr>
      </w:pPr>
      <w:r>
        <w:t>水土保持设施经</w:t>
      </w:r>
      <w:r>
        <w:rPr>
          <w:rFonts w:hint="eastAsia"/>
        </w:rPr>
        <w:t>武汉市洪山区水务局</w:t>
      </w:r>
      <w:r>
        <w:t>验收合格后，</w:t>
      </w:r>
      <w:r>
        <w:rPr>
          <w:rFonts w:hint="eastAsia"/>
        </w:rPr>
        <w:t>建设单位</w:t>
      </w:r>
      <w:r>
        <w:t>将对防治责任范围内的各项水土保持设施落实管护制度，明确责任单位、责任人，制定具体的工程维修管理养护办法，确保水土保持设施的正常使用和运行，以最大限度地发挥水土保持效益。</w:t>
      </w:r>
    </w:p>
    <w:p>
      <w:pPr>
        <w:pStyle w:val="3"/>
        <w:spacing w:line="240" w:lineRule="auto"/>
        <w:ind w:firstLine="0" w:firstLineChars="0"/>
        <w:jc w:val="center"/>
      </w:pPr>
      <w:bookmarkStart w:id="146" w:name="_Toc24287"/>
      <w:r>
        <w:t>7结论及下阶段工作安排</w:t>
      </w:r>
      <w:bookmarkEnd w:id="146"/>
    </w:p>
    <w:p>
      <w:pPr>
        <w:pStyle w:val="4"/>
        <w:ind w:firstLine="562"/>
      </w:pPr>
      <w:bookmarkStart w:id="147" w:name="_Toc30648"/>
      <w:r>
        <w:t>7.1 自验结论</w:t>
      </w:r>
      <w:bookmarkEnd w:id="147"/>
    </w:p>
    <w:p>
      <w:pPr>
        <w:ind w:firstLine="480"/>
      </w:pPr>
      <w:r>
        <w:t>本项目水土保持措施完成的质量和数量均符合设计和规范要求，实施情况总体良好，防治措施落实到位，项目建设过程中基本未对周边环境造成影响。项目建成后水土流失六项防治指标均达到了水土保持方案制定的《开发建设项目水土流失防治标准》（GB50434-2008）</w:t>
      </w:r>
      <w:r>
        <w:rPr>
          <w:rFonts w:hint="eastAsia"/>
        </w:rPr>
        <w:t>标准</w:t>
      </w:r>
      <w:r>
        <w:t>要求，水土保持设施运行正常、工程质量总体合格。根据《开发建设项目水土保持设施验收管理办法》的要求，本项目水土保持设施具备竣工验收条件。</w:t>
      </w:r>
    </w:p>
    <w:p>
      <w:pPr>
        <w:pStyle w:val="4"/>
        <w:ind w:firstLine="562"/>
      </w:pPr>
      <w:bookmarkStart w:id="148" w:name="_Toc29793"/>
      <w:r>
        <w:t>7.2 下阶段工作安排</w:t>
      </w:r>
      <w:bookmarkEnd w:id="148"/>
    </w:p>
    <w:p>
      <w:pPr>
        <w:ind w:firstLine="460" w:firstLineChars="192"/>
      </w:pPr>
      <w:r>
        <w:t>本项目已基本落实了水土保持方案规定的任务，项目建设过程中及后续运行中存在的问题主要</w:t>
      </w:r>
      <w:r>
        <w:rPr>
          <w:rFonts w:hint="eastAsia"/>
        </w:rPr>
        <w:t>为景观绿化的管护</w:t>
      </w:r>
      <w:r>
        <w:t>。</w:t>
      </w:r>
    </w:p>
    <w:p>
      <w:pPr>
        <w:ind w:firstLine="460" w:firstLineChars="192"/>
      </w:pPr>
      <w:r>
        <w:t>因此下阶段需对项目区的绿地加强养护，巩固林草成活率和保存率，使其持续发挥水土保持效益。</w:t>
      </w:r>
    </w:p>
    <w:p>
      <w:pPr>
        <w:ind w:firstLine="537" w:firstLineChars="192"/>
        <w:rPr>
          <w:sz w:val="28"/>
          <w:szCs w:val="28"/>
        </w:rPr>
      </w:pPr>
    </w:p>
    <w:p>
      <w:pPr>
        <w:pStyle w:val="3"/>
        <w:spacing w:line="240" w:lineRule="auto"/>
        <w:ind w:firstLine="0" w:firstLineChars="0"/>
        <w:jc w:val="center"/>
        <w:sectPr>
          <w:headerReference r:id="rId17" w:type="default"/>
          <w:pgSz w:w="11906" w:h="16838"/>
          <w:pgMar w:top="1587" w:right="1587" w:bottom="1587" w:left="1587" w:header="567" w:footer="567" w:gutter="0"/>
          <w:cols w:space="720" w:num="1"/>
          <w:docGrid w:type="lines" w:linePitch="312" w:charSpace="0"/>
        </w:sectPr>
      </w:pPr>
    </w:p>
    <w:p>
      <w:pPr>
        <w:pStyle w:val="3"/>
        <w:spacing w:line="240" w:lineRule="auto"/>
        <w:ind w:firstLine="0" w:firstLineChars="0"/>
        <w:jc w:val="center"/>
      </w:pPr>
      <w:bookmarkStart w:id="149" w:name="_Toc11516"/>
      <w:r>
        <w:rPr>
          <w:rFonts w:hint="eastAsia"/>
        </w:rPr>
        <w:t>8 附件附图</w:t>
      </w:r>
      <w:bookmarkEnd w:id="149"/>
    </w:p>
    <w:p>
      <w:pPr>
        <w:pStyle w:val="4"/>
        <w:ind w:firstLine="562"/>
      </w:pPr>
      <w:bookmarkStart w:id="150" w:name="_Toc10969"/>
      <w:r>
        <w:rPr>
          <w:rFonts w:hint="eastAsia"/>
        </w:rPr>
        <w:t xml:space="preserve">8.1 </w:t>
      </w:r>
      <w:r>
        <w:rPr>
          <w:rFonts w:hint="eastAsia"/>
          <w:highlight w:val="none"/>
        </w:rPr>
        <w:t>附件</w:t>
      </w:r>
      <w:bookmarkEnd w:id="150"/>
    </w:p>
    <w:p>
      <w:pPr>
        <w:pStyle w:val="4"/>
        <w:ind w:firstLine="562"/>
        <w:rPr>
          <w:rFonts w:eastAsia="仿宋_GB2312"/>
        </w:rPr>
      </w:pPr>
      <w:bookmarkStart w:id="151" w:name="_Toc24552"/>
      <w:r>
        <w:t>1、</w:t>
      </w:r>
      <w:r>
        <w:rPr>
          <w:rFonts w:hint="eastAsia"/>
        </w:rPr>
        <w:t>水土保持方案批复</w:t>
      </w:r>
      <w:bookmarkEnd w:id="151"/>
    </w:p>
    <w:p>
      <w:pPr>
        <w:ind w:firstLine="480"/>
        <w:sectPr>
          <w:pgSz w:w="11906" w:h="16838"/>
          <w:pgMar w:top="720" w:right="720" w:bottom="720" w:left="720" w:header="567" w:footer="567" w:gutter="0"/>
          <w:cols w:space="720" w:num="1"/>
          <w:docGrid w:type="lines" w:linePitch="312" w:charSpace="0"/>
        </w:sectPr>
      </w:pPr>
      <w:r>
        <w:drawing>
          <wp:inline distT="0" distB="0" distL="0" distR="0">
            <wp:extent cx="5995035" cy="7622540"/>
            <wp:effectExtent l="0" t="0" r="5715" b="0"/>
            <wp:docPr id="9" name="图片 9" descr="楚天都市沁园水保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楚天都市沁园水保批复_00"/>
                    <pic:cNvPicPr>
                      <a:picLocks noChangeAspect="1" noChangeArrowheads="1"/>
                    </pic:cNvPicPr>
                  </pic:nvPicPr>
                  <pic:blipFill>
                    <a:blip r:embed="rId43" cstate="print">
                      <a:extLst>
                        <a:ext uri="{28A0092B-C50C-407E-A947-70E740481C1C}">
                          <a14:useLocalDpi xmlns:a14="http://schemas.microsoft.com/office/drawing/2010/main" val="0"/>
                        </a:ext>
                      </a:extLst>
                    </a:blip>
                    <a:srcRect l="1024" t="7080" r="2611" b="7260"/>
                    <a:stretch>
                      <a:fillRect/>
                    </a:stretch>
                  </pic:blipFill>
                  <pic:spPr>
                    <a:xfrm>
                      <a:off x="0" y="0"/>
                      <a:ext cx="5995035" cy="7622540"/>
                    </a:xfrm>
                    <a:prstGeom prst="rect">
                      <a:avLst/>
                    </a:prstGeom>
                    <a:noFill/>
                    <a:ln>
                      <a:noFill/>
                    </a:ln>
                  </pic:spPr>
                </pic:pic>
              </a:graphicData>
            </a:graphic>
          </wp:inline>
        </w:drawing>
      </w:r>
      <w:r>
        <w:drawing>
          <wp:inline distT="0" distB="0" distL="0" distR="0">
            <wp:extent cx="6638925" cy="9525635"/>
            <wp:effectExtent l="0" t="0" r="9525" b="0"/>
            <wp:docPr id="10" name="图片 10" descr="楚天都市沁园水保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楚天都市沁园水保批复_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638925" cy="9525635"/>
                    </a:xfrm>
                    <a:prstGeom prst="rect">
                      <a:avLst/>
                    </a:prstGeom>
                    <a:noFill/>
                    <a:ln>
                      <a:noFill/>
                    </a:ln>
                  </pic:spPr>
                </pic:pic>
              </a:graphicData>
            </a:graphic>
          </wp:inline>
        </w:drawing>
      </w:r>
      <w:r>
        <w:drawing>
          <wp:inline distT="0" distB="0" distL="0" distR="0">
            <wp:extent cx="6642735" cy="9549765"/>
            <wp:effectExtent l="0" t="0" r="5715" b="0"/>
            <wp:docPr id="11" name="图片 11" descr="楚天都市沁园水保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楚天都市沁园水保批复_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642735" cy="9549765"/>
                    </a:xfrm>
                    <a:prstGeom prst="rect">
                      <a:avLst/>
                    </a:prstGeom>
                    <a:noFill/>
                    <a:ln>
                      <a:noFill/>
                    </a:ln>
                  </pic:spPr>
                </pic:pic>
              </a:graphicData>
            </a:graphic>
          </wp:inline>
        </w:drawing>
      </w:r>
    </w:p>
    <w:p>
      <w:pPr>
        <w:pStyle w:val="4"/>
        <w:ind w:firstLine="562"/>
      </w:pPr>
      <w:bookmarkStart w:id="152" w:name="_Toc949"/>
      <w:r>
        <w:rPr>
          <w:rFonts w:hint="eastAsia"/>
        </w:rPr>
        <w:t>2</w:t>
      </w:r>
      <w:r>
        <w:t>、</w:t>
      </w:r>
      <w:r>
        <w:rPr>
          <w:rFonts w:hint="eastAsia"/>
        </w:rPr>
        <w:t>水土保持补偿费缴费凭证</w:t>
      </w:r>
      <w:bookmarkEnd w:id="152"/>
    </w:p>
    <w:p>
      <w:pPr>
        <w:ind w:firstLine="480"/>
        <w:jc w:val="center"/>
      </w:pPr>
      <w:r>
        <w:drawing>
          <wp:inline distT="0" distB="0" distL="0" distR="0">
            <wp:extent cx="8693150" cy="5339080"/>
            <wp:effectExtent l="635" t="0" r="0" b="0"/>
            <wp:docPr id="12" name="图片 12" descr="微信图片_20200930115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093011565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rot="-5400000">
                      <a:off x="0" y="0"/>
                      <a:ext cx="8693150" cy="5339080"/>
                    </a:xfrm>
                    <a:prstGeom prst="rect">
                      <a:avLst/>
                    </a:prstGeom>
                    <a:noFill/>
                    <a:ln>
                      <a:noFill/>
                    </a:ln>
                  </pic:spPr>
                </pic:pic>
              </a:graphicData>
            </a:graphic>
          </wp:inline>
        </w:drawing>
      </w:r>
    </w:p>
    <w:p>
      <w:pPr>
        <w:pStyle w:val="2"/>
        <w:ind w:firstLine="560"/>
        <w:rPr>
          <w:sz w:val="28"/>
          <w:szCs w:val="28"/>
        </w:rPr>
      </w:pPr>
    </w:p>
    <w:p>
      <w:pPr>
        <w:pStyle w:val="2"/>
        <w:ind w:firstLine="560"/>
        <w:rPr>
          <w:sz w:val="28"/>
          <w:szCs w:val="28"/>
        </w:rPr>
        <w:sectPr>
          <w:pgSz w:w="11906" w:h="16838"/>
          <w:pgMar w:top="720" w:right="720" w:bottom="720" w:left="720" w:header="567" w:footer="567" w:gutter="0"/>
          <w:cols w:space="720" w:num="1"/>
          <w:docGrid w:type="lines" w:linePitch="312" w:charSpace="0"/>
        </w:sectPr>
      </w:pPr>
    </w:p>
    <w:p>
      <w:pPr>
        <w:pStyle w:val="4"/>
        <w:ind w:firstLine="562"/>
      </w:pPr>
      <w:bookmarkStart w:id="153" w:name="_Toc8846"/>
      <w:r>
        <w:rPr>
          <w:rFonts w:hint="eastAsia"/>
        </w:rPr>
        <w:t>3、水土保持重大变更说明</w:t>
      </w:r>
      <w:bookmarkEnd w:id="153"/>
    </w:p>
    <w:p>
      <w:pPr>
        <w:ind w:firstLine="480"/>
        <w:rPr>
          <w:rFonts w:cs="仿宋"/>
        </w:rPr>
      </w:pPr>
      <w:r>
        <w:rPr>
          <w:rFonts w:hint="eastAsia" w:cs="仿宋"/>
        </w:rPr>
        <w:t>施工阶段，黄楚天都市沁园建设项目的工程规模、枢纽布置均未发生大的变化，弃渣场的类型和级别都未调整，土石方量无变化。本项目水土保持不存在重大变更。</w:t>
      </w:r>
    </w:p>
    <w:p>
      <w:pPr>
        <w:ind w:firstLine="422"/>
        <w:jc w:val="center"/>
        <w:rPr>
          <w:rFonts w:cs="仿宋"/>
          <w:sz w:val="21"/>
          <w:szCs w:val="21"/>
        </w:rPr>
      </w:pPr>
      <w:r>
        <w:rPr>
          <w:rFonts w:hint="eastAsia" w:eastAsia="仿宋_GB2312"/>
          <w:b/>
          <w:sz w:val="21"/>
          <w:szCs w:val="21"/>
        </w:rPr>
        <w:t>与《水利部生产建设项目水土保持方案变更管理规定（试行）》有关规定的相符性分析</w:t>
      </w:r>
    </w:p>
    <w:tbl>
      <w:tblPr>
        <w:tblStyle w:val="23"/>
        <w:tblW w:w="87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4045"/>
        <w:gridCol w:w="3215"/>
        <w:gridCol w:w="7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tblHeader/>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序号</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lang w:val="zh-CN"/>
              </w:rPr>
            </w:pPr>
            <w:r>
              <w:rPr>
                <w:rFonts w:hint="eastAsia" w:eastAsia="仿宋_GB2312"/>
                <w:sz w:val="21"/>
                <w:szCs w:val="21"/>
                <w:lang w:val="zh-CN"/>
              </w:rPr>
              <w:t>《水利部生产建设项目水土保持方案变更管理规定（试行）》（办水保〔2016〕65号）</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本工程情况</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第三条</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水土保持方案经批准后，生产建设项目地点、规模发生重大变化，有下列情形之一的，生产建设单位应当补充或者修改水土保持方案，报水利部审批。</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（一〉</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涉及国家级和省级水土流失重点预防区或者重点治理区的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工程位于洪山区，所在区域属武汉市人民政府《关于划分水土流失重点防治区的通告》的重点预防区</w:t>
            </w:r>
            <w:r>
              <w:rPr>
                <w:rFonts w:hint="eastAsia"/>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rPr>
            </w:pPr>
            <w:r>
              <w:rPr>
                <w:rFonts w:hint="eastAsia" w:eastAsia="仿宋_GB2312"/>
                <w:bCs/>
                <w:sz w:val="21"/>
                <w:szCs w:val="21"/>
                <w:lang w:val="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（二〉</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水土流失防治责任范围增加30%以上的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lang w:val="zh-CN"/>
              </w:rPr>
            </w:pPr>
            <w:r>
              <w:rPr>
                <w:rFonts w:hint="eastAsia" w:eastAsia="仿宋_GB2312"/>
                <w:sz w:val="21"/>
                <w:szCs w:val="21"/>
              </w:rPr>
              <w:t>本项目水土流失防治责任范围19.91hm</w:t>
            </w:r>
            <w:r>
              <w:rPr>
                <w:rFonts w:hint="eastAsia" w:eastAsia="仿宋_GB2312"/>
                <w:sz w:val="21"/>
                <w:szCs w:val="21"/>
                <w:vertAlign w:val="superscript"/>
              </w:rPr>
              <w:t>2</w:t>
            </w:r>
            <w:r>
              <w:rPr>
                <w:rFonts w:hint="eastAsia" w:eastAsia="仿宋_GB2312"/>
                <w:sz w:val="21"/>
                <w:szCs w:val="21"/>
              </w:rPr>
              <w:t>，较原设计19.91hm</w:t>
            </w:r>
            <w:r>
              <w:rPr>
                <w:rFonts w:hint="eastAsia" w:eastAsia="仿宋_GB2312"/>
                <w:sz w:val="21"/>
                <w:szCs w:val="21"/>
                <w:vertAlign w:val="superscript"/>
              </w:rPr>
              <w:t>2</w:t>
            </w:r>
            <w:r>
              <w:rPr>
                <w:rFonts w:hint="eastAsia" w:eastAsia="仿宋_GB2312"/>
                <w:sz w:val="21"/>
                <w:szCs w:val="21"/>
              </w:rPr>
              <w:t>无增减</w:t>
            </w:r>
            <w:r>
              <w:rPr>
                <w:rFonts w:hint="eastAsia"/>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（三〉</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开挖填筑土石方总量增加30%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本项目挖填方总量</w:t>
            </w:r>
            <w:r>
              <w:rPr>
                <w:rFonts w:hint="eastAsia"/>
                <w:sz w:val="21"/>
                <w:szCs w:val="21"/>
              </w:rPr>
              <w:t>114.19</w:t>
            </w:r>
            <w:r>
              <w:rPr>
                <w:rFonts w:hint="eastAsia" w:eastAsia="仿宋_GB2312"/>
                <w:sz w:val="21"/>
                <w:szCs w:val="21"/>
              </w:rPr>
              <w:t>万m</w:t>
            </w:r>
            <w:r>
              <w:rPr>
                <w:rFonts w:hint="eastAsia" w:eastAsia="仿宋_GB2312"/>
                <w:sz w:val="21"/>
                <w:szCs w:val="21"/>
                <w:vertAlign w:val="superscript"/>
              </w:rPr>
              <w:t>3</w:t>
            </w:r>
            <w:r>
              <w:rPr>
                <w:rFonts w:hint="eastAsia" w:eastAsia="仿宋_GB2312"/>
                <w:sz w:val="21"/>
                <w:szCs w:val="21"/>
              </w:rPr>
              <w:t>，较原设计</w:t>
            </w:r>
            <w:r>
              <w:rPr>
                <w:rFonts w:hint="eastAsia"/>
                <w:sz w:val="21"/>
                <w:szCs w:val="21"/>
              </w:rPr>
              <w:t>114.19</w:t>
            </w:r>
            <w:r>
              <w:rPr>
                <w:rFonts w:hint="eastAsia" w:eastAsia="仿宋_GB2312"/>
                <w:sz w:val="21"/>
                <w:szCs w:val="21"/>
              </w:rPr>
              <w:t>万m</w:t>
            </w:r>
            <w:r>
              <w:rPr>
                <w:rFonts w:hint="eastAsia" w:eastAsia="仿宋_GB2312"/>
                <w:sz w:val="21"/>
                <w:szCs w:val="21"/>
                <w:vertAlign w:val="superscript"/>
              </w:rPr>
              <w:t>3</w:t>
            </w:r>
            <w:r>
              <w:rPr>
                <w:rFonts w:hint="eastAsia"/>
                <w:sz w:val="21"/>
                <w:szCs w:val="21"/>
              </w:rPr>
              <w:t>无增减</w:t>
            </w:r>
            <w:r>
              <w:rPr>
                <w:rFonts w:hint="eastAsia" w:eastAsia="仿宋_GB2312"/>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（四〉</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施工道路或者伴行道路等长度增加20 %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本项目施工道路</w:t>
            </w:r>
            <w:r>
              <w:rPr>
                <w:rFonts w:hint="eastAsia"/>
                <w:sz w:val="21"/>
                <w:szCs w:val="21"/>
              </w:rPr>
              <w:t>1.1k</w:t>
            </w:r>
            <w:r>
              <w:rPr>
                <w:rFonts w:hint="eastAsia" w:eastAsia="仿宋_GB2312"/>
                <w:sz w:val="21"/>
                <w:szCs w:val="21"/>
              </w:rPr>
              <w:t>m，较原设计</w:t>
            </w:r>
            <w:r>
              <w:rPr>
                <w:rFonts w:hint="eastAsia"/>
                <w:sz w:val="21"/>
                <w:szCs w:val="21"/>
              </w:rPr>
              <w:t>1.1</w:t>
            </w:r>
            <w:r>
              <w:rPr>
                <w:rFonts w:hint="eastAsia" w:eastAsia="仿宋_GB2312"/>
                <w:sz w:val="21"/>
                <w:szCs w:val="21"/>
              </w:rPr>
              <w:t>km</w:t>
            </w:r>
            <w:r>
              <w:rPr>
                <w:rFonts w:hint="eastAsia"/>
                <w:sz w:val="21"/>
                <w:szCs w:val="21"/>
              </w:rPr>
              <w:t>无增减；</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3"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第四条</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水土保持方案实施过程中，水土保持措施发生下列重大变更之一的，生产建设单位应当补充或者修改水土保持方案，报水利部审批。</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9"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（一〉</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表土剥离量减少30%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本工程不涉及表土剥离</w:t>
            </w:r>
            <w:r>
              <w:rPr>
                <w:rFonts w:hint="eastAsia"/>
                <w:sz w:val="21"/>
                <w:szCs w:val="21"/>
              </w:rPr>
              <w:t>；</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lang w:val="zh-CN"/>
              </w:rPr>
            </w:pPr>
            <w:r>
              <w:rPr>
                <w:rFonts w:hint="eastAsia"/>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（二〉</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植物措施总面积减少30% 以上的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本工程实际计划实施植物措施总面积</w:t>
            </w:r>
            <w:r>
              <w:rPr>
                <w:rFonts w:hint="eastAsia"/>
                <w:sz w:val="21"/>
                <w:szCs w:val="21"/>
              </w:rPr>
              <w:t>6.58</w:t>
            </w:r>
            <w:r>
              <w:rPr>
                <w:rFonts w:hint="eastAsia" w:eastAsia="仿宋_GB2312"/>
                <w:sz w:val="21"/>
                <w:szCs w:val="21"/>
              </w:rPr>
              <w:t>hm</w:t>
            </w:r>
            <w:r>
              <w:rPr>
                <w:rFonts w:hint="eastAsia" w:eastAsia="仿宋_GB2312"/>
                <w:sz w:val="21"/>
                <w:szCs w:val="21"/>
                <w:vertAlign w:val="superscript"/>
              </w:rPr>
              <w:t>2</w:t>
            </w:r>
            <w:r>
              <w:rPr>
                <w:rFonts w:hint="eastAsia" w:eastAsia="仿宋_GB2312"/>
                <w:sz w:val="21"/>
                <w:szCs w:val="21"/>
              </w:rPr>
              <w:t>，较原设计</w:t>
            </w:r>
            <w:r>
              <w:rPr>
                <w:rFonts w:hint="eastAsia"/>
                <w:sz w:val="21"/>
                <w:szCs w:val="21"/>
              </w:rPr>
              <w:t>6.58</w:t>
            </w:r>
            <w:r>
              <w:rPr>
                <w:rFonts w:hint="eastAsia" w:eastAsia="仿宋_GB2312"/>
                <w:sz w:val="21"/>
                <w:szCs w:val="21"/>
              </w:rPr>
              <w:t>hm</w:t>
            </w:r>
            <w:r>
              <w:rPr>
                <w:rFonts w:hint="eastAsia" w:eastAsia="仿宋_GB2312"/>
                <w:sz w:val="21"/>
                <w:szCs w:val="21"/>
                <w:vertAlign w:val="superscript"/>
              </w:rPr>
              <w:t>2</w:t>
            </w:r>
            <w:r>
              <w:rPr>
                <w:rFonts w:hint="eastAsia"/>
                <w:sz w:val="21"/>
                <w:szCs w:val="21"/>
              </w:rPr>
              <w:t>无增减。</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lang w:val="zh-CN"/>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（三〉</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水土保持重要单位工程措施体系发生变化，可能导致水土保持功能显著降低或丧失的</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措施变化后，不会导致水土保持功能显著降低或丧失的</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lang w:val="zh-CN"/>
              </w:rPr>
            </w:pPr>
            <w:r>
              <w:rPr>
                <w:rFonts w:hint="eastAsia" w:eastAsia="仿宋_GB2312"/>
                <w:sz w:val="21"/>
                <w:szCs w:val="21"/>
                <w:lang w:val="zh-CN"/>
              </w:rPr>
              <w:t>不符合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0" w:hRule="atLeast"/>
          <w:jc w:val="center"/>
        </w:trPr>
        <w:tc>
          <w:tcPr>
            <w:tcW w:w="783"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sz w:val="21"/>
                <w:szCs w:val="21"/>
              </w:rPr>
            </w:pPr>
            <w:r>
              <w:rPr>
                <w:rFonts w:hint="eastAsia" w:eastAsia="仿宋_GB2312"/>
                <w:sz w:val="21"/>
                <w:szCs w:val="21"/>
              </w:rPr>
              <w:t>第五条</w:t>
            </w:r>
          </w:p>
        </w:tc>
        <w:tc>
          <w:tcPr>
            <w:tcW w:w="404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在水土保持方案确定的废弃砂、石、土、矸石、尾矿、废渣等专门存放地〈以下简称“弃渣场”）外新设弃渣场的，或者需要提高弃渣场堆渣量达到20% 以上的，生产建设单位应当在弃渣前编制水土保持方案（弃渣场补充〉报告书，报水利部审批。</w:t>
            </w:r>
          </w:p>
        </w:tc>
        <w:tc>
          <w:tcPr>
            <w:tcW w:w="3215" w:type="dxa"/>
            <w:tcBorders>
              <w:tl2br w:val="nil"/>
              <w:tr2bl w:val="nil"/>
            </w:tcBorders>
            <w:tcMar>
              <w:left w:w="0" w:type="dxa"/>
              <w:right w:w="0" w:type="dxa"/>
            </w:tcMar>
            <w:vAlign w:val="center"/>
          </w:tcPr>
          <w:p>
            <w:pPr>
              <w:adjustRightInd w:val="0"/>
              <w:snapToGrid w:val="0"/>
              <w:spacing w:line="240" w:lineRule="auto"/>
              <w:ind w:firstLine="0" w:firstLineChars="0"/>
              <w:rPr>
                <w:rFonts w:eastAsia="仿宋_GB2312"/>
                <w:sz w:val="21"/>
                <w:szCs w:val="21"/>
              </w:rPr>
            </w:pPr>
            <w:r>
              <w:rPr>
                <w:rFonts w:hint="eastAsia" w:eastAsia="仿宋_GB2312"/>
                <w:sz w:val="21"/>
                <w:szCs w:val="21"/>
              </w:rPr>
              <w:t>工程实际使用</w:t>
            </w:r>
            <w:r>
              <w:rPr>
                <w:rFonts w:hint="eastAsia"/>
                <w:sz w:val="21"/>
                <w:szCs w:val="21"/>
              </w:rPr>
              <w:t>临时堆土场2</w:t>
            </w:r>
            <w:r>
              <w:rPr>
                <w:rFonts w:hint="eastAsia" w:eastAsia="仿宋_GB2312"/>
                <w:sz w:val="21"/>
                <w:szCs w:val="21"/>
              </w:rPr>
              <w:t>座，</w:t>
            </w:r>
            <w:r>
              <w:rPr>
                <w:rFonts w:hint="eastAsia"/>
                <w:sz w:val="21"/>
                <w:szCs w:val="21"/>
              </w:rPr>
              <w:t>未设置弃渣场，</w:t>
            </w:r>
            <w:r>
              <w:rPr>
                <w:rFonts w:hint="eastAsia" w:eastAsia="仿宋_GB2312"/>
                <w:sz w:val="21"/>
                <w:szCs w:val="21"/>
              </w:rPr>
              <w:t>位置没有发生改变；本项目弃方</w:t>
            </w:r>
            <w:r>
              <w:rPr>
                <w:rFonts w:hint="eastAsia"/>
                <w:sz w:val="21"/>
                <w:szCs w:val="21"/>
              </w:rPr>
              <w:t>73.51</w:t>
            </w:r>
            <w:r>
              <w:rPr>
                <w:rFonts w:hint="eastAsia" w:eastAsia="仿宋_GB2312"/>
                <w:sz w:val="21"/>
                <w:szCs w:val="21"/>
              </w:rPr>
              <w:t>万m</w:t>
            </w:r>
            <w:r>
              <w:rPr>
                <w:rFonts w:hint="eastAsia" w:eastAsia="仿宋_GB2312"/>
                <w:sz w:val="21"/>
                <w:szCs w:val="21"/>
                <w:vertAlign w:val="superscript"/>
              </w:rPr>
              <w:t>3</w:t>
            </w:r>
            <w:r>
              <w:rPr>
                <w:rFonts w:hint="eastAsia" w:eastAsia="仿宋_GB2312"/>
                <w:sz w:val="21"/>
                <w:szCs w:val="21"/>
              </w:rPr>
              <w:t>，较原设计</w:t>
            </w:r>
            <w:r>
              <w:rPr>
                <w:rFonts w:hint="eastAsia"/>
                <w:sz w:val="21"/>
                <w:szCs w:val="21"/>
              </w:rPr>
              <w:t>73.51</w:t>
            </w:r>
            <w:r>
              <w:rPr>
                <w:rFonts w:hint="eastAsia" w:eastAsia="仿宋_GB2312"/>
                <w:sz w:val="21"/>
                <w:szCs w:val="21"/>
              </w:rPr>
              <w:t>万m</w:t>
            </w:r>
            <w:r>
              <w:rPr>
                <w:rFonts w:hint="eastAsia" w:eastAsia="仿宋_GB2312"/>
                <w:sz w:val="21"/>
                <w:szCs w:val="21"/>
                <w:vertAlign w:val="superscript"/>
              </w:rPr>
              <w:t>3</w:t>
            </w:r>
            <w:r>
              <w:rPr>
                <w:rFonts w:hint="eastAsia"/>
                <w:sz w:val="21"/>
                <w:szCs w:val="21"/>
              </w:rPr>
              <w:t>无增减。</w:t>
            </w:r>
          </w:p>
        </w:tc>
        <w:tc>
          <w:tcPr>
            <w:tcW w:w="717" w:type="dxa"/>
            <w:tcBorders>
              <w:tl2br w:val="nil"/>
              <w:tr2bl w:val="nil"/>
            </w:tcBorders>
            <w:tcMar>
              <w:left w:w="0" w:type="dxa"/>
              <w:right w:w="0" w:type="dxa"/>
            </w:tcMar>
            <w:vAlign w:val="center"/>
          </w:tcPr>
          <w:p>
            <w:pPr>
              <w:adjustRightInd w:val="0"/>
              <w:snapToGrid w:val="0"/>
              <w:spacing w:line="240" w:lineRule="auto"/>
              <w:ind w:firstLine="0" w:firstLineChars="0"/>
              <w:jc w:val="center"/>
              <w:rPr>
                <w:rFonts w:eastAsia="仿宋_GB2312"/>
                <w:b/>
                <w:sz w:val="21"/>
                <w:szCs w:val="21"/>
                <w:lang w:val="zh-CN"/>
              </w:rPr>
            </w:pPr>
            <w:r>
              <w:rPr>
                <w:rFonts w:hint="eastAsia" w:eastAsia="仿宋_GB2312"/>
                <w:sz w:val="21"/>
                <w:szCs w:val="21"/>
                <w:lang w:val="zh-CN"/>
              </w:rPr>
              <w:t>不符合</w:t>
            </w:r>
          </w:p>
        </w:tc>
      </w:tr>
    </w:tbl>
    <w:p>
      <w:pPr>
        <w:ind w:firstLine="560"/>
        <w:rPr>
          <w:sz w:val="28"/>
          <w:szCs w:val="28"/>
        </w:rPr>
      </w:pPr>
    </w:p>
    <w:p>
      <w:pPr>
        <w:pStyle w:val="2"/>
        <w:ind w:firstLine="560"/>
        <w:rPr>
          <w:sz w:val="28"/>
          <w:szCs w:val="28"/>
        </w:rPr>
      </w:pPr>
    </w:p>
    <w:p>
      <w:pPr>
        <w:pStyle w:val="2"/>
        <w:ind w:firstLine="560"/>
        <w:rPr>
          <w:sz w:val="28"/>
          <w:szCs w:val="28"/>
        </w:rPr>
        <w:sectPr>
          <w:pgSz w:w="11906" w:h="16838"/>
          <w:pgMar w:top="1587" w:right="1587" w:bottom="1587" w:left="1587" w:header="567" w:footer="567" w:gutter="0"/>
          <w:cols w:space="720" w:num="1"/>
          <w:docGrid w:type="lines" w:linePitch="312" w:charSpace="0"/>
        </w:sectPr>
      </w:pPr>
    </w:p>
    <w:p>
      <w:pPr>
        <w:pStyle w:val="4"/>
        <w:numPr>
          <w:ilvl w:val="0"/>
          <w:numId w:val="3"/>
        </w:numPr>
        <w:ind w:firstLineChars="0"/>
      </w:pPr>
      <w:bookmarkStart w:id="154" w:name="_Toc28085"/>
      <w:r>
        <w:rPr>
          <w:rFonts w:hint="eastAsia"/>
        </w:rPr>
        <w:t>单位工程自验检</w:t>
      </w:r>
      <w:r>
        <w:rPr>
          <w:rFonts w:hint="eastAsia"/>
          <w:highlight w:val="none"/>
        </w:rPr>
        <w:t>查照片</w:t>
      </w:r>
      <w:bookmarkEnd w:id="154"/>
    </w:p>
    <w:p>
      <w:pPr>
        <w:ind w:firstLine="480"/>
      </w:pPr>
    </w:p>
    <w:tbl>
      <w:tblPr>
        <w:tblStyle w:val="23"/>
        <w:tblW w:w="0" w:type="auto"/>
        <w:tblInd w:w="0" w:type="dxa"/>
        <w:tblLayout w:type="autofit"/>
        <w:tblCellMar>
          <w:top w:w="0" w:type="dxa"/>
          <w:left w:w="108" w:type="dxa"/>
          <w:bottom w:w="0" w:type="dxa"/>
          <w:right w:w="108" w:type="dxa"/>
        </w:tblCellMar>
      </w:tblPr>
      <w:tblGrid>
        <w:gridCol w:w="4474"/>
        <w:gridCol w:w="4474"/>
      </w:tblGrid>
      <w:tr>
        <w:tblPrEx>
          <w:tblCellMar>
            <w:top w:w="0" w:type="dxa"/>
            <w:left w:w="108" w:type="dxa"/>
            <w:bottom w:w="0" w:type="dxa"/>
            <w:right w:w="108" w:type="dxa"/>
          </w:tblCellMar>
        </w:tblPrEx>
        <w:tc>
          <w:tcPr>
            <w:tcW w:w="4474" w:type="dxa"/>
            <w:tcBorders>
              <w:tl2br w:val="nil"/>
              <w:tr2bl w:val="nil"/>
            </w:tcBorders>
            <w:vAlign w:val="center"/>
          </w:tcPr>
          <w:p>
            <w:pPr>
              <w:pStyle w:val="49"/>
            </w:pPr>
            <w:r>
              <w:drawing>
                <wp:inline distT="0" distB="0" distL="0" distR="0">
                  <wp:extent cx="2694305" cy="2017395"/>
                  <wp:effectExtent l="0" t="0" r="0" b="1905"/>
                  <wp:docPr id="13" name="图片 13" descr="IMG_20200326_13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0326_1329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694305" cy="2017395"/>
                          </a:xfrm>
                          <a:prstGeom prst="rect">
                            <a:avLst/>
                          </a:prstGeom>
                          <a:noFill/>
                          <a:ln>
                            <a:noFill/>
                          </a:ln>
                        </pic:spPr>
                      </pic:pic>
                    </a:graphicData>
                  </a:graphic>
                </wp:inline>
              </w:drawing>
            </w:r>
          </w:p>
        </w:tc>
        <w:tc>
          <w:tcPr>
            <w:tcW w:w="4474" w:type="dxa"/>
            <w:tcBorders>
              <w:tl2br w:val="nil"/>
              <w:tr2bl w:val="nil"/>
            </w:tcBorders>
            <w:vAlign w:val="center"/>
          </w:tcPr>
          <w:p>
            <w:pPr>
              <w:pStyle w:val="49"/>
            </w:pPr>
            <w:r>
              <w:rPr>
                <w:rFonts w:hint="eastAsia"/>
              </w:rPr>
              <w:drawing>
                <wp:inline distT="0" distB="0" distL="85090" distR="85090">
                  <wp:extent cx="2691765" cy="2019300"/>
                  <wp:effectExtent l="0" t="0" r="41" b="31"/>
                  <wp:docPr id="165" name="图片" descr="IMG_20200326_13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descr="IMG_20200326_132858"/>
                          <pic:cNvPicPr>
                            <a:picLocks noChangeAspect="1"/>
                          </pic:cNvPicPr>
                        </pic:nvPicPr>
                        <pic:blipFill>
                          <a:blip r:embed="rId48"/>
                          <a:stretch>
                            <a:fillRect/>
                          </a:stretch>
                        </pic:blipFill>
                        <pic:spPr>
                          <a:xfrm>
                            <a:off x="0" y="0"/>
                            <a:ext cx="2691765" cy="2019300"/>
                          </a:xfrm>
                          <a:prstGeom prst="rect">
                            <a:avLst/>
                          </a:prstGeom>
                          <a:noFill/>
                          <a:ln w="9525" cap="flat" cmpd="sng">
                            <a:noFill/>
                            <a:prstDash val="solid"/>
                            <a:miter/>
                          </a:ln>
                        </pic:spPr>
                      </pic:pic>
                    </a:graphicData>
                  </a:graphic>
                </wp:inline>
              </w:drawing>
            </w:r>
          </w:p>
        </w:tc>
      </w:tr>
      <w:tr>
        <w:tblPrEx>
          <w:tblCellMar>
            <w:top w:w="0" w:type="dxa"/>
            <w:left w:w="108" w:type="dxa"/>
            <w:bottom w:w="0" w:type="dxa"/>
            <w:right w:w="108" w:type="dxa"/>
          </w:tblCellMar>
        </w:tblPrEx>
        <w:tc>
          <w:tcPr>
            <w:tcW w:w="4474" w:type="dxa"/>
            <w:tcBorders>
              <w:tl2br w:val="nil"/>
              <w:tr2bl w:val="nil"/>
            </w:tcBorders>
            <w:vAlign w:val="center"/>
          </w:tcPr>
          <w:p>
            <w:pPr>
              <w:pStyle w:val="49"/>
            </w:pPr>
          </w:p>
        </w:tc>
        <w:tc>
          <w:tcPr>
            <w:tcW w:w="4474" w:type="dxa"/>
            <w:tcBorders>
              <w:tl2br w:val="nil"/>
              <w:tr2bl w:val="nil"/>
            </w:tcBorders>
            <w:vAlign w:val="center"/>
          </w:tcPr>
          <w:p>
            <w:pPr>
              <w:pStyle w:val="49"/>
            </w:pPr>
          </w:p>
        </w:tc>
      </w:tr>
      <w:tr>
        <w:tblPrEx>
          <w:tblCellMar>
            <w:top w:w="0" w:type="dxa"/>
            <w:left w:w="108" w:type="dxa"/>
            <w:bottom w:w="0" w:type="dxa"/>
            <w:right w:w="108" w:type="dxa"/>
          </w:tblCellMar>
        </w:tblPrEx>
        <w:tc>
          <w:tcPr>
            <w:tcW w:w="4474" w:type="dxa"/>
            <w:tcBorders>
              <w:tl2br w:val="nil"/>
              <w:tr2bl w:val="nil"/>
            </w:tcBorders>
            <w:vAlign w:val="center"/>
          </w:tcPr>
          <w:p>
            <w:pPr>
              <w:pStyle w:val="49"/>
            </w:pPr>
            <w:r>
              <w:rPr>
                <w:rFonts w:hint="eastAsia"/>
              </w:rPr>
              <w:drawing>
                <wp:inline distT="0" distB="0" distL="85090" distR="85090">
                  <wp:extent cx="2691765" cy="2019300"/>
                  <wp:effectExtent l="0" t="0" r="41" b="31"/>
                  <wp:docPr id="174" name="图片" descr="IMG_20200326_13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descr="IMG_20200326_133136"/>
                          <pic:cNvPicPr>
                            <a:picLocks noChangeAspect="1"/>
                          </pic:cNvPicPr>
                        </pic:nvPicPr>
                        <pic:blipFill>
                          <a:blip r:embed="rId49"/>
                          <a:stretch>
                            <a:fillRect/>
                          </a:stretch>
                        </pic:blipFill>
                        <pic:spPr>
                          <a:xfrm>
                            <a:off x="0" y="0"/>
                            <a:ext cx="2691765" cy="2019300"/>
                          </a:xfrm>
                          <a:prstGeom prst="rect">
                            <a:avLst/>
                          </a:prstGeom>
                          <a:noFill/>
                          <a:ln w="9525" cap="flat" cmpd="sng">
                            <a:noFill/>
                            <a:prstDash val="solid"/>
                            <a:miter/>
                          </a:ln>
                        </pic:spPr>
                      </pic:pic>
                    </a:graphicData>
                  </a:graphic>
                </wp:inline>
              </w:drawing>
            </w:r>
          </w:p>
        </w:tc>
        <w:tc>
          <w:tcPr>
            <w:tcW w:w="4474" w:type="dxa"/>
            <w:tcBorders>
              <w:tl2br w:val="nil"/>
              <w:tr2bl w:val="nil"/>
            </w:tcBorders>
            <w:vAlign w:val="center"/>
          </w:tcPr>
          <w:p>
            <w:pPr>
              <w:pStyle w:val="49"/>
            </w:pPr>
            <w:r>
              <w:drawing>
                <wp:inline distT="0" distB="0" distL="0" distR="0">
                  <wp:extent cx="2694305" cy="2017395"/>
                  <wp:effectExtent l="0" t="0" r="0" b="1905"/>
                  <wp:docPr id="14" name="图片 14" descr="IMG_20200326_13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326_1346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694305" cy="201739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474" w:type="dxa"/>
            <w:tcBorders>
              <w:tl2br w:val="nil"/>
              <w:tr2bl w:val="nil"/>
            </w:tcBorders>
            <w:vAlign w:val="center"/>
          </w:tcPr>
          <w:p>
            <w:pPr>
              <w:pStyle w:val="49"/>
            </w:pPr>
          </w:p>
        </w:tc>
        <w:tc>
          <w:tcPr>
            <w:tcW w:w="4474" w:type="dxa"/>
            <w:tcBorders>
              <w:tl2br w:val="nil"/>
              <w:tr2bl w:val="nil"/>
            </w:tcBorders>
            <w:vAlign w:val="center"/>
          </w:tcPr>
          <w:p>
            <w:pPr>
              <w:pStyle w:val="49"/>
            </w:pPr>
          </w:p>
        </w:tc>
      </w:tr>
      <w:tr>
        <w:tblPrEx>
          <w:tblCellMar>
            <w:top w:w="0" w:type="dxa"/>
            <w:left w:w="108" w:type="dxa"/>
            <w:bottom w:w="0" w:type="dxa"/>
            <w:right w:w="108" w:type="dxa"/>
          </w:tblCellMar>
        </w:tblPrEx>
        <w:tc>
          <w:tcPr>
            <w:tcW w:w="4474" w:type="dxa"/>
            <w:tcBorders>
              <w:tl2br w:val="nil"/>
              <w:tr2bl w:val="nil"/>
            </w:tcBorders>
            <w:vAlign w:val="center"/>
          </w:tcPr>
          <w:p>
            <w:pPr>
              <w:pStyle w:val="49"/>
            </w:pPr>
            <w:r>
              <w:drawing>
                <wp:inline distT="0" distB="0" distL="114300" distR="114300">
                  <wp:extent cx="2494915" cy="2291080"/>
                  <wp:effectExtent l="0" t="0" r="4445"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7"/>
                          <a:stretch>
                            <a:fillRect/>
                          </a:stretch>
                        </pic:blipFill>
                        <pic:spPr>
                          <a:xfrm>
                            <a:off x="0" y="0"/>
                            <a:ext cx="2494915" cy="2291080"/>
                          </a:xfrm>
                          <a:prstGeom prst="rect">
                            <a:avLst/>
                          </a:prstGeom>
                          <a:noFill/>
                          <a:ln>
                            <a:noFill/>
                          </a:ln>
                        </pic:spPr>
                      </pic:pic>
                    </a:graphicData>
                  </a:graphic>
                </wp:inline>
              </w:drawing>
            </w:r>
          </w:p>
        </w:tc>
        <w:tc>
          <w:tcPr>
            <w:tcW w:w="4474" w:type="dxa"/>
            <w:tcBorders>
              <w:tl2br w:val="nil"/>
              <w:tr2bl w:val="nil"/>
            </w:tcBorders>
            <w:vAlign w:val="center"/>
          </w:tcPr>
          <w:p>
            <w:pPr>
              <w:pStyle w:val="49"/>
            </w:pPr>
            <w:r>
              <w:drawing>
                <wp:inline distT="0" distB="0" distL="114300" distR="114300">
                  <wp:extent cx="2495550" cy="2352040"/>
                  <wp:effectExtent l="0" t="0" r="3810"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9"/>
                          <a:stretch>
                            <a:fillRect/>
                          </a:stretch>
                        </pic:blipFill>
                        <pic:spPr>
                          <a:xfrm>
                            <a:off x="0" y="0"/>
                            <a:ext cx="2495550" cy="2352040"/>
                          </a:xfrm>
                          <a:prstGeom prst="rect">
                            <a:avLst/>
                          </a:prstGeom>
                          <a:noFill/>
                          <a:ln>
                            <a:noFill/>
                          </a:ln>
                        </pic:spPr>
                      </pic:pic>
                    </a:graphicData>
                  </a:graphic>
                </wp:inline>
              </w:drawing>
            </w:r>
          </w:p>
        </w:tc>
      </w:tr>
    </w:tbl>
    <w:p>
      <w:pPr>
        <w:ind w:firstLine="480"/>
      </w:pPr>
    </w:p>
    <w:sectPr>
      <w:pgSz w:w="11906" w:h="16838"/>
      <w:pgMar w:top="1587" w:right="1587" w:bottom="1587" w:left="1587" w:header="567"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rPr>
        <w:rFonts w:ascii="Times New Roman" w:hAnsi="Times New Roman"/>
      </w:rPr>
    </w:pPr>
    <w:r>
      <mc:AlternateContent>
        <mc:Choice Requires="wps">
          <w:drawing>
            <wp:anchor distT="0" distB="0" distL="113665" distR="113665" simplePos="0" relativeHeight="251657216" behindDoc="0" locked="0" layoutInCell="1" allowOverlap="1">
              <wp:simplePos x="0" y="0"/>
              <wp:positionH relativeFrom="margin">
                <wp:align>center</wp:align>
              </wp:positionH>
              <wp:positionV relativeFrom="paragraph">
                <wp:posOffset>0</wp:posOffset>
              </wp:positionV>
              <wp:extent cx="314325" cy="262890"/>
              <wp:effectExtent l="0" t="0" r="0" b="0"/>
              <wp:wrapNone/>
              <wp:docPr id="1" name="文本框 2051"/>
              <wp:cNvGraphicFramePr/>
              <a:graphic xmlns:a="http://schemas.openxmlformats.org/drawingml/2006/main">
                <a:graphicData uri="http://schemas.microsoft.com/office/word/2010/wordprocessingShape">
                  <wps:wsp>
                    <wps:cNvSpPr/>
                    <wps:spPr>
                      <a:xfrm>
                        <a:off x="0" y="0"/>
                        <a:ext cx="314324" cy="263118"/>
                      </a:xfrm>
                      <a:prstGeom prst="rect">
                        <a:avLst/>
                      </a:prstGeom>
                      <a:noFill/>
                      <a:ln w="9525" cap="flat" cmpd="sng">
                        <a:noFill/>
                        <a:prstDash val="solid"/>
                        <a:miter/>
                      </a:ln>
                    </wps:spPr>
                    <wps:txbx>
                      <w:txbxContent>
                        <w:p>
                          <w:pPr>
                            <w:ind w:firstLine="480"/>
                          </w:pPr>
                        </w:p>
                      </w:txbxContent>
                    </wps:txbx>
                    <wps:bodyPr vert="horz" wrap="none" lIns="0" tIns="0" rIns="0" bIns="0" anchor="t" anchorCtr="0" upright="1">
                      <a:spAutoFit/>
                    </wps:bodyPr>
                  </wps:wsp>
                </a:graphicData>
              </a:graphic>
            </wp:anchor>
          </w:drawing>
        </mc:Choice>
        <mc:Fallback>
          <w:pict>
            <v:rect id="文本框 2051" o:spid="_x0000_s1026" o:spt="1" style="position:absolute;left:0pt;margin-top:0pt;height:20.7pt;width:24.75pt;mso-position-horizontal:center;mso-position-horizontal-relative:margin;mso-wrap-style:none;z-index:251657216;mso-width-relative:page;mso-height-relative:page;" filled="f" stroked="f" coordsize="21600,21600" o:gfxdata="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KkOm0gAAAAMBAAAPAAAAAAAAAAEAIAAAACIAAABkcnMvZG93&#10;bnJldi54bWxQSwECFAAUAAAACACHTuJAox6EnwYCAAD3AwAADgAAAAAAAAABACAAAAAhAQAAZHJz&#10;L2Uyb0RvYy54bWxQSwUGAAAAAAYABgBZAQAAmQUAAAAA&#10;">
              <v:fill on="f" focussize="0,0"/>
              <v:stroke on="f" joinstyle="miter"/>
              <v:imagedata o:title=""/>
              <o:lock v:ext="edit" aspectratio="f"/>
              <v:textbox inset="0mm,0mm,0mm,0mm" style="mso-fit-shape-to-text:t;">
                <w:txbxContent>
                  <w:p>
                    <w:pPr>
                      <w:ind w:firstLine="480"/>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rPr>
        <w:rFonts w:ascii="Times New Roman" w:hAnsi="Times New Roman"/>
      </w:rPr>
    </w:pPr>
    <w:r>
      <mc:AlternateContent>
        <mc:Choice Requires="wps">
          <w:drawing>
            <wp:anchor distT="0" distB="0" distL="113665" distR="113665" simplePos="0" relativeHeight="251658240" behindDoc="0" locked="0" layoutInCell="1" allowOverlap="1">
              <wp:simplePos x="0" y="0"/>
              <wp:positionH relativeFrom="margin">
                <wp:align>center</wp:align>
              </wp:positionH>
              <wp:positionV relativeFrom="paragraph">
                <wp:posOffset>0</wp:posOffset>
              </wp:positionV>
              <wp:extent cx="286385" cy="209550"/>
              <wp:effectExtent l="0" t="0" r="0" b="0"/>
              <wp:wrapNone/>
              <wp:docPr id="4" name="文本框 4"/>
              <wp:cNvGraphicFramePr/>
              <a:graphic xmlns:a="http://schemas.openxmlformats.org/drawingml/2006/main">
                <a:graphicData uri="http://schemas.microsoft.com/office/word/2010/wordprocessingShape">
                  <wps:wsp>
                    <wps:cNvSpPr/>
                    <wps:spPr>
                      <a:xfrm>
                        <a:off x="0" y="0"/>
                        <a:ext cx="286550" cy="209340"/>
                      </a:xfrm>
                      <a:prstGeom prst="rect">
                        <a:avLst/>
                      </a:prstGeom>
                      <a:noFill/>
                      <a:ln w="9525" cap="flat" cmpd="sng">
                        <a:noFill/>
                        <a:prstDash val="solid"/>
                        <a:miter/>
                      </a:ln>
                    </wps:spPr>
                    <wps:txbx>
                      <w:txbxContent>
                        <w:p>
                          <w:pPr>
                            <w:pStyle w:val="16"/>
                            <w:ind w:firstLine="360"/>
                            <w:rPr>
                              <w:rFonts w:eastAsia="仿宋"/>
                            </w:rPr>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wps:txbx>
                    <wps:bodyPr vert="horz" wrap="none" lIns="0" tIns="0" rIns="0" bIns="0" anchor="t" anchorCtr="0" upright="1">
                      <a:spAutoFit/>
                    </wps:bodyPr>
                  </wps:wsp>
                </a:graphicData>
              </a:graphic>
            </wp:anchor>
          </w:drawing>
        </mc:Choice>
        <mc:Fallback>
          <w:pict>
            <v:rect id="文本框 4" o:spid="_x0000_s1026" o:spt="1" style="position:absolute;left:0pt;margin-top:0pt;height:16.5pt;width:22.55pt;mso-position-horizontal:center;mso-position-horizontal-relative:margin;mso-wrap-style:none;z-index:251658240;mso-width-relative:page;mso-height-relative:page;" filled="f" stroked="f" coordsize="21600,21600" o:gfxdata="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gO4bSAAAAAwEAAA8AAAAAAAAAAQAgAAAAIgAAAGRycy9kb3du&#10;cmV2LnhtbFBLAQIUABQAAAAIAIdO4kCtIUeUBQIAAPQDAAAOAAAAAAAAAAEAIAAAACEBAABkcnMv&#10;ZTJvRG9jLnhtbFBLBQYAAAAABgAGAFkBAACYBQAAAAA=&#10;">
              <v:fill on="f" focussize="0,0"/>
              <v:stroke on="f" joinstyle="miter"/>
              <v:imagedata o:title=""/>
              <o:lock v:ext="edit" aspectratio="f"/>
              <v:textbox inset="0mm,0mm,0mm,0mm" style="mso-fit-shape-to-text:t;">
                <w:txbxContent>
                  <w:p>
                    <w:pPr>
                      <w:pStyle w:val="16"/>
                      <w:ind w:firstLine="360"/>
                      <w:rPr>
                        <w:rFonts w:eastAsia="仿宋"/>
                      </w:rPr>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rPr>
        <w:rFonts w:ascii="Times New Roman" w:hAnsi="Times New Roman"/>
      </w:rPr>
    </w:pPr>
    <w:r>
      <mc:AlternateContent>
        <mc:Choice Requires="wps">
          <w:drawing>
            <wp:anchor distT="0" distB="0" distL="113665" distR="113665" simplePos="0" relativeHeight="251658240" behindDoc="0" locked="0" layoutInCell="1" allowOverlap="1">
              <wp:simplePos x="0" y="0"/>
              <wp:positionH relativeFrom="margin">
                <wp:align>center</wp:align>
              </wp:positionH>
              <wp:positionV relativeFrom="paragraph">
                <wp:posOffset>0</wp:posOffset>
              </wp:positionV>
              <wp:extent cx="344805" cy="209550"/>
              <wp:effectExtent l="0" t="0" r="0" b="0"/>
              <wp:wrapNone/>
              <wp:docPr id="7" name="文本框 3"/>
              <wp:cNvGraphicFramePr/>
              <a:graphic xmlns:a="http://schemas.openxmlformats.org/drawingml/2006/main">
                <a:graphicData uri="http://schemas.microsoft.com/office/word/2010/wordprocessingShape">
                  <wps:wsp>
                    <wps:cNvSpPr/>
                    <wps:spPr>
                      <a:xfrm>
                        <a:off x="0" y="0"/>
                        <a:ext cx="344500" cy="209341"/>
                      </a:xfrm>
                      <a:prstGeom prst="rect">
                        <a:avLst/>
                      </a:prstGeom>
                      <a:noFill/>
                      <a:ln w="9525" cap="flat" cmpd="sng">
                        <a:noFill/>
                        <a:prstDash val="solid"/>
                        <a:miter/>
                      </a:ln>
                    </wps:spPr>
                    <wps:txbx>
                      <w:txbxContent>
                        <w:p>
                          <w:pPr>
                            <w:pStyle w:val="16"/>
                            <w:ind w:firstLine="360"/>
                            <w:rPr>
                              <w:rFonts w:eastAsia="仿宋_GB2312"/>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vert="horz" wrap="none" lIns="0" tIns="0" rIns="0" bIns="0" anchor="t" anchorCtr="0" upright="1">
                      <a:spAutoFit/>
                    </wps:bodyPr>
                  </wps:wsp>
                </a:graphicData>
              </a:graphic>
            </wp:anchor>
          </w:drawing>
        </mc:Choice>
        <mc:Fallback>
          <w:pict>
            <v:rect id="文本框 3" o:spid="_x0000_s1026" o:spt="1" style="position:absolute;left:0pt;margin-top:0pt;height:16.5pt;width:27.15pt;mso-position-horizontal:center;mso-position-horizontal-relative:margin;mso-wrap-style:none;z-index:251658240;mso-width-relative:page;mso-height-relative:page;" filled="f" stroked="f" coordsize="21600,21600" o:gfxdata="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LKROdIAAAADAQAADwAAAAAAAAABACAAAAAiAAAAZHJzL2Rvd25y&#10;ZXYueG1sUEsBAhQAFAAAAAgAh07iQLc2ZAwEAgAA9AMAAA4AAAAAAAAAAQAgAAAAIQEAAGRycy9l&#10;Mm9Eb2MueG1sUEsFBgAAAAAGAAYAWQEAAJcFAAAAAA==&#10;">
              <v:fill on="f" focussize="0,0"/>
              <v:stroke on="f" joinstyle="miter"/>
              <v:imagedata o:title=""/>
              <o:lock v:ext="edit" aspectratio="f"/>
              <v:textbox inset="0mm,0mm,0mm,0mm" style="mso-fit-shape-to-text:t;">
                <w:txbxContent>
                  <w:p>
                    <w:pPr>
                      <w:pStyle w:val="16"/>
                      <w:ind w:firstLine="360"/>
                      <w:rPr>
                        <w:rFonts w:eastAsia="仿宋_GB2312"/>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rPr>
        <w:rFonts w:ascii="Times New Roman" w:hAnsi="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180" w:firstLineChars="100"/>
      <w:jc w:val="both"/>
      <w:rPr>
        <w:rFonts w:ascii="Times New Roman" w:hAnsi="Times New Roman"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ascii="Times New Roman" w:hAnsi="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ascii="Times New Roman" w:hAnsi="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180" w:firstLineChars="100"/>
      <w:jc w:val="both"/>
      <w:rPr>
        <w:rFonts w:ascii="Times New Roman" w:hAnsi="Times New Roman" w:eastAsia="仿宋_GB23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180" w:firstLineChars="100"/>
      <w:jc w:val="both"/>
      <w:rPr>
        <w:rFonts w:ascii="Times New Roman" w:hAnsi="Times New Roman" w:eastAsia="仿宋_GB231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1266EF"/>
    <w:multiLevelType w:val="singleLevel"/>
    <w:tmpl w:val="991266EF"/>
    <w:lvl w:ilvl="0" w:tentative="0">
      <w:start w:val="4"/>
      <w:numFmt w:val="decimal"/>
      <w:suff w:val="nothing"/>
      <w:lvlText w:val="%1、"/>
      <w:lvlJc w:val="left"/>
      <w:pPr>
        <w:tabs>
          <w:tab w:val="left" w:pos="0"/>
        </w:tabs>
        <w:ind w:left="0" w:firstLine="0"/>
      </w:pPr>
    </w:lvl>
  </w:abstractNum>
  <w:abstractNum w:abstractNumId="1">
    <w:nsid w:val="CC97F656"/>
    <w:multiLevelType w:val="singleLevel"/>
    <w:tmpl w:val="CC97F656"/>
    <w:lvl w:ilvl="0" w:tentative="0">
      <w:start w:val="2"/>
      <w:numFmt w:val="decimal"/>
      <w:suff w:val="space"/>
      <w:lvlText w:val="%1."/>
      <w:lvlJc w:val="left"/>
      <w:pPr>
        <w:tabs>
          <w:tab w:val="left" w:pos="0"/>
        </w:tabs>
        <w:ind w:left="0" w:firstLine="0"/>
      </w:pPr>
    </w:lvl>
  </w:abstractNum>
  <w:abstractNum w:abstractNumId="2">
    <w:nsid w:val="6EBBC10A"/>
    <w:multiLevelType w:val="singleLevel"/>
    <w:tmpl w:val="6EBBC10A"/>
    <w:lvl w:ilvl="0" w:tentative="0">
      <w:start w:val="1"/>
      <w:numFmt w:val="decimal"/>
      <w:suff w:val="space"/>
      <w:lvlText w:val="%1."/>
      <w:lvlJc w:val="left"/>
      <w:pPr>
        <w:tabs>
          <w:tab w:val="left" w:pos="0"/>
        </w:tabs>
        <w:ind w:left="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2"/>
  <w:documentProtection w:enforcement="0"/>
  <w:defaultTabStop w:val="420"/>
  <w:drawingGridHorizontalSpacing w:val="105"/>
  <w:drawingGridVerticalSpacing w:val="156"/>
  <w:noPunctuationKerning w:val="1"/>
  <w:characterSpacingControl w:val="compressPunctuation"/>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64A"/>
    <w:rsid w:val="0043764A"/>
    <w:rsid w:val="00A209BE"/>
    <w:rsid w:val="00DF4583"/>
    <w:rsid w:val="01EA1C29"/>
    <w:rsid w:val="036255BD"/>
    <w:rsid w:val="0467376C"/>
    <w:rsid w:val="05764566"/>
    <w:rsid w:val="05E134CD"/>
    <w:rsid w:val="09B6440B"/>
    <w:rsid w:val="0D0447D5"/>
    <w:rsid w:val="10EB11CD"/>
    <w:rsid w:val="11954763"/>
    <w:rsid w:val="17FC0467"/>
    <w:rsid w:val="1A135131"/>
    <w:rsid w:val="1A207384"/>
    <w:rsid w:val="204E2F13"/>
    <w:rsid w:val="2397123B"/>
    <w:rsid w:val="27493C9E"/>
    <w:rsid w:val="2889565D"/>
    <w:rsid w:val="30651D65"/>
    <w:rsid w:val="357A3FC7"/>
    <w:rsid w:val="35BF4ADC"/>
    <w:rsid w:val="38B847E5"/>
    <w:rsid w:val="3B5E376B"/>
    <w:rsid w:val="3D0A2A65"/>
    <w:rsid w:val="43716DCF"/>
    <w:rsid w:val="443E4376"/>
    <w:rsid w:val="45855526"/>
    <w:rsid w:val="458570A5"/>
    <w:rsid w:val="49C87231"/>
    <w:rsid w:val="4E235C68"/>
    <w:rsid w:val="50D5345A"/>
    <w:rsid w:val="529902EC"/>
    <w:rsid w:val="54E5615B"/>
    <w:rsid w:val="5AF52AD8"/>
    <w:rsid w:val="5DF837D0"/>
    <w:rsid w:val="64D55841"/>
    <w:rsid w:val="652B770E"/>
    <w:rsid w:val="6A1E7391"/>
    <w:rsid w:val="6A5625AA"/>
    <w:rsid w:val="6C5963D7"/>
    <w:rsid w:val="74016FA4"/>
    <w:rsid w:val="745769B5"/>
    <w:rsid w:val="79596639"/>
    <w:rsid w:val="7972367C"/>
    <w:rsid w:val="7BD42C54"/>
    <w:rsid w:val="7DB26F9C"/>
    <w:rsid w:val="7E2F59DD"/>
    <w:rsid w:val="7FCF42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nhideWhenUsed="0" w:uiPriority="0" w:semiHidden="0" w:name="heading 2"/>
    <w:lsdException w:unhideWhenUsed="0" w:uiPriority="0" w:semiHidden="0" w:name="heading 3"/>
    <w:lsdException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spacing w:line="360" w:lineRule="auto"/>
      <w:ind w:firstLine="200" w:firstLineChars="200"/>
      <w:jc w:val="both"/>
    </w:pPr>
    <w:rPr>
      <w:rFonts w:ascii="Times New Roman" w:hAnsi="Times New Roman" w:eastAsia="仿宋" w:cs="Times New Roman"/>
      <w:kern w:val="2"/>
      <w:sz w:val="24"/>
      <w:szCs w:val="24"/>
      <w:lang w:val="en-US" w:eastAsia="zh-CN" w:bidi="ar-SA"/>
    </w:rPr>
  </w:style>
  <w:style w:type="paragraph" w:styleId="3">
    <w:name w:val="heading 1"/>
    <w:basedOn w:val="1"/>
    <w:next w:val="1"/>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line="240" w:lineRule="auto"/>
      <w:outlineLvl w:val="1"/>
    </w:pPr>
    <w:rPr>
      <w:b/>
      <w:bCs/>
      <w:sz w:val="28"/>
      <w:szCs w:val="28"/>
    </w:rPr>
  </w:style>
  <w:style w:type="paragraph" w:styleId="5">
    <w:name w:val="heading 3"/>
    <w:basedOn w:val="1"/>
    <w:next w:val="1"/>
    <w:uiPriority w:val="0"/>
    <w:pPr>
      <w:keepNext/>
      <w:keepLines/>
      <w:spacing w:line="240" w:lineRule="auto"/>
      <w:outlineLvl w:val="2"/>
    </w:pPr>
    <w:rPr>
      <w:b/>
      <w:bCs/>
      <w:sz w:val="28"/>
      <w:szCs w:val="28"/>
    </w:rPr>
  </w:style>
  <w:style w:type="paragraph" w:styleId="6">
    <w:name w:val="heading 4"/>
    <w:basedOn w:val="1"/>
    <w:next w:val="1"/>
    <w:uiPriority w:val="0"/>
    <w:pPr>
      <w:keepNext/>
      <w:keepLines/>
      <w:spacing w:before="50" w:beforeLines="50" w:line="240" w:lineRule="auto"/>
      <w:outlineLvl w:val="3"/>
    </w:pPr>
  </w:style>
  <w:style w:type="paragraph" w:styleId="7">
    <w:name w:val="heading 5"/>
    <w:basedOn w:val="1"/>
    <w:next w:val="1"/>
    <w:qFormat/>
    <w:uiPriority w:val="0"/>
    <w:pPr>
      <w:keepNext/>
      <w:keepLines/>
      <w:spacing w:before="280" w:after="290" w:line="376" w:lineRule="atLeast"/>
      <w:outlineLvl w:val="4"/>
    </w:pPr>
    <w:rPr>
      <w:b/>
      <w:bCs/>
      <w:sz w:val="28"/>
      <w:szCs w:val="28"/>
    </w:rPr>
  </w:style>
  <w:style w:type="paragraph" w:styleId="8">
    <w:name w:val="heading 6"/>
    <w:basedOn w:val="1"/>
    <w:next w:val="1"/>
    <w:qFormat/>
    <w:uiPriority w:val="0"/>
    <w:pPr>
      <w:ind w:left="1021"/>
      <w:outlineLvl w:val="5"/>
    </w:pPr>
    <w:rPr>
      <w:rFonts w:ascii="宋体" w:eastAsia="宋体" w:cs="宋体"/>
      <w:b/>
      <w:bCs/>
      <w:lang w:val="zh-CN" w:bidi="zh-CN"/>
    </w:rPr>
  </w:style>
  <w:style w:type="character" w:default="1" w:styleId="24">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ind w:left="117"/>
    </w:pPr>
  </w:style>
  <w:style w:type="paragraph" w:styleId="9">
    <w:name w:val="Normal Indent"/>
    <w:basedOn w:val="1"/>
    <w:qFormat/>
    <w:uiPriority w:val="0"/>
    <w:pPr>
      <w:spacing w:line="331" w:lineRule="auto"/>
    </w:pPr>
    <w:rPr>
      <w:sz w:val="28"/>
      <w:szCs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Indent"/>
    <w:basedOn w:val="1"/>
    <w:qFormat/>
    <w:uiPriority w:val="0"/>
    <w:pPr>
      <w:spacing w:after="120"/>
      <w:ind w:left="200" w:leftChars="200"/>
    </w:pPr>
    <w:rPr>
      <w:rFonts w:ascii="Calibri" w:hAnsi="Calibri" w:eastAsia="宋体"/>
      <w:sz w:val="21"/>
      <w:szCs w:val="22"/>
    </w:rPr>
  </w:style>
  <w:style w:type="paragraph" w:styleId="13">
    <w:name w:val="Plain Text"/>
    <w:basedOn w:val="1"/>
    <w:qFormat/>
    <w:uiPriority w:val="0"/>
    <w:pPr>
      <w:spacing w:line="560" w:lineRule="exact"/>
    </w:pPr>
    <w:rPr>
      <w:rFonts w:ascii="宋体" w:eastAsia="宋体"/>
      <w:sz w:val="21"/>
      <w:szCs w:val="21"/>
    </w:rPr>
  </w:style>
  <w:style w:type="paragraph" w:styleId="14">
    <w:name w:val="Body Text Indent 2"/>
    <w:basedOn w:val="1"/>
    <w:qFormat/>
    <w:uiPriority w:val="0"/>
    <w:rPr>
      <w:rFonts w:eastAsia="仿宋_GB2312"/>
    </w:rPr>
  </w:style>
  <w:style w:type="paragraph" w:styleId="15">
    <w:name w:val="Balloon Text"/>
    <w:basedOn w:val="1"/>
    <w:qFormat/>
    <w:uiPriority w:val="0"/>
    <w:rPr>
      <w:rFonts w:ascii="Calibri" w:hAnsi="Calibri" w:eastAsia="宋体"/>
      <w:sz w:val="18"/>
      <w:szCs w:val="18"/>
    </w:rPr>
  </w:style>
  <w:style w:type="paragraph" w:styleId="16">
    <w:name w:val="footer"/>
    <w:basedOn w:val="1"/>
    <w:qFormat/>
    <w:uiPriority w:val="0"/>
    <w:pPr>
      <w:tabs>
        <w:tab w:val="center" w:pos="4153"/>
        <w:tab w:val="right" w:pos="8306"/>
      </w:tabs>
      <w:snapToGrid w:val="0"/>
      <w:jc w:val="left"/>
    </w:pPr>
    <w:rPr>
      <w:rFonts w:ascii="Calibri" w:hAnsi="Calibri" w:eastAsia="宋体"/>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rFonts w:ascii="Calibri" w:hAnsi="Calibri" w:eastAsia="宋体"/>
      <w:sz w:val="18"/>
      <w:szCs w:val="18"/>
    </w:rPr>
  </w:style>
  <w:style w:type="paragraph" w:styleId="18">
    <w:name w:val="toc 1"/>
    <w:basedOn w:val="1"/>
    <w:next w:val="1"/>
    <w:qFormat/>
    <w:uiPriority w:val="0"/>
    <w:pPr>
      <w:tabs>
        <w:tab w:val="right" w:leader="dot" w:pos="8820"/>
      </w:tabs>
      <w:adjustRightInd w:val="0"/>
      <w:snapToGrid w:val="0"/>
    </w:pPr>
    <w:rPr>
      <w:rFonts w:eastAsia="黑体"/>
    </w:rPr>
  </w:style>
  <w:style w:type="paragraph" w:styleId="19">
    <w:name w:val="toc 2"/>
    <w:basedOn w:val="1"/>
    <w:next w:val="1"/>
    <w:qFormat/>
    <w:uiPriority w:val="0"/>
    <w:pPr>
      <w:tabs>
        <w:tab w:val="right" w:leader="dot" w:pos="8820"/>
      </w:tabs>
      <w:ind w:left="200" w:leftChars="200"/>
    </w:pPr>
    <w:rPr>
      <w:kern w:val="0"/>
    </w:rPr>
  </w:style>
  <w:style w:type="paragraph" w:styleId="20">
    <w:name w:val="index 1"/>
    <w:basedOn w:val="1"/>
    <w:next w:val="1"/>
    <w:qFormat/>
    <w:uiPriority w:val="0"/>
    <w:rPr>
      <w:szCs w:val="20"/>
    </w:rPr>
  </w:style>
  <w:style w:type="paragraph" w:styleId="21">
    <w:name w:val="Title"/>
    <w:basedOn w:val="1"/>
    <w:qFormat/>
    <w:uiPriority w:val="0"/>
    <w:pPr>
      <w:spacing w:before="240" w:after="60" w:line="490" w:lineRule="exact"/>
      <w:jc w:val="center"/>
      <w:outlineLvl w:val="0"/>
    </w:pPr>
    <w:rPr>
      <w:rFonts w:ascii="Arial" w:hAnsi="Arial" w:cs="Arial"/>
      <w:b/>
      <w:bCs/>
      <w:sz w:val="32"/>
      <w:szCs w:val="32"/>
    </w:rPr>
  </w:style>
  <w:style w:type="paragraph" w:styleId="22">
    <w:name w:val="annotation subject"/>
    <w:basedOn w:val="11"/>
    <w:next w:val="11"/>
    <w:qFormat/>
    <w:uiPriority w:val="0"/>
    <w:rPr>
      <w:b/>
      <w:bCs/>
    </w:rPr>
  </w:style>
  <w:style w:type="character" w:styleId="25">
    <w:name w:val="page number"/>
    <w:basedOn w:val="24"/>
    <w:uiPriority w:val="0"/>
  </w:style>
  <w:style w:type="character" w:styleId="26">
    <w:name w:val="Hyperlink"/>
    <w:uiPriority w:val="0"/>
    <w:rPr>
      <w:color w:val="0000FF"/>
      <w:u w:val="single"/>
    </w:rPr>
  </w:style>
  <w:style w:type="character" w:styleId="27">
    <w:name w:val="annotation reference"/>
    <w:basedOn w:val="24"/>
    <w:qFormat/>
    <w:uiPriority w:val="0"/>
    <w:rPr>
      <w:sz w:val="21"/>
      <w:szCs w:val="21"/>
    </w:rPr>
  </w:style>
  <w:style w:type="character" w:customStyle="1" w:styleId="28">
    <w:name w:val="font11"/>
    <w:basedOn w:val="24"/>
    <w:qFormat/>
    <w:uiPriority w:val="0"/>
    <w:rPr>
      <w:rFonts w:ascii="仿宋" w:eastAsia="仿宋" w:cs="仿宋"/>
      <w:color w:val="000000"/>
      <w:sz w:val="20"/>
      <w:szCs w:val="20"/>
      <w:u w:val="none"/>
      <w:vertAlign w:val="superscript"/>
    </w:rPr>
  </w:style>
  <w:style w:type="character" w:customStyle="1" w:styleId="29">
    <w:name w:val="正 Char"/>
    <w:qFormat/>
    <w:uiPriority w:val="0"/>
    <w:rPr>
      <w:rFonts w:eastAsia="宋体"/>
      <w:kern w:val="2"/>
      <w:sz w:val="28"/>
      <w:szCs w:val="24"/>
      <w:lang w:val="en-US" w:eastAsia="zh-CN" w:bidi="ar-SA"/>
    </w:rPr>
  </w:style>
  <w:style w:type="character" w:customStyle="1" w:styleId="30">
    <w:name w:val="font51"/>
    <w:basedOn w:val="24"/>
    <w:qFormat/>
    <w:uiPriority w:val="0"/>
    <w:rPr>
      <w:rFonts w:ascii="Times New Roman" w:hAnsi="Times New Roman" w:cs="Times New Roman"/>
      <w:b/>
      <w:color w:val="000000"/>
      <w:sz w:val="22"/>
      <w:szCs w:val="22"/>
      <w:u w:val="none"/>
    </w:rPr>
  </w:style>
  <w:style w:type="character" w:customStyle="1" w:styleId="31">
    <w:name w:val="font21"/>
    <w:basedOn w:val="24"/>
    <w:qFormat/>
    <w:uiPriority w:val="0"/>
    <w:rPr>
      <w:rFonts w:ascii="宋体" w:eastAsia="宋体" w:cs="宋体"/>
      <w:b/>
      <w:color w:val="000000"/>
      <w:sz w:val="20"/>
      <w:szCs w:val="20"/>
      <w:u w:val="none"/>
    </w:rPr>
  </w:style>
  <w:style w:type="character" w:customStyle="1" w:styleId="32">
    <w:name w:val="font61"/>
    <w:basedOn w:val="24"/>
    <w:qFormat/>
    <w:uiPriority w:val="0"/>
    <w:rPr>
      <w:rFonts w:ascii="宋体" w:eastAsia="宋体" w:cs="宋体"/>
      <w:color w:val="000000"/>
      <w:sz w:val="21"/>
      <w:szCs w:val="21"/>
      <w:u w:val="none"/>
    </w:rPr>
  </w:style>
  <w:style w:type="character" w:customStyle="1" w:styleId="33">
    <w:name w:val="font01"/>
    <w:basedOn w:val="24"/>
    <w:qFormat/>
    <w:uiPriority w:val="0"/>
    <w:rPr>
      <w:rFonts w:ascii="Calibri" w:hAnsi="Calibri" w:cs="Calibri"/>
      <w:color w:val="000000"/>
      <w:sz w:val="20"/>
      <w:szCs w:val="20"/>
      <w:u w:val="none"/>
    </w:rPr>
  </w:style>
  <w:style w:type="character" w:customStyle="1" w:styleId="34">
    <w:name w:val="正文缩进 Char1"/>
    <w:qFormat/>
    <w:uiPriority w:val="0"/>
    <w:rPr>
      <w:color w:val="000000"/>
      <w:sz w:val="24"/>
    </w:rPr>
  </w:style>
  <w:style w:type="character" w:customStyle="1" w:styleId="35">
    <w:name w:val="font31"/>
    <w:basedOn w:val="24"/>
    <w:qFormat/>
    <w:uiPriority w:val="0"/>
    <w:rPr>
      <w:rFonts w:ascii="仿宋" w:eastAsia="仿宋" w:cs="仿宋"/>
      <w:color w:val="000000"/>
      <w:sz w:val="20"/>
      <w:szCs w:val="20"/>
      <w:u w:val="none"/>
    </w:rPr>
  </w:style>
  <w:style w:type="character" w:customStyle="1" w:styleId="36">
    <w:name w:val="纯文本 Char"/>
    <w:qFormat/>
    <w:uiPriority w:val="0"/>
    <w:rPr>
      <w:rFonts w:ascii="宋体" w:cs="Courier New"/>
      <w:kern w:val="2"/>
      <w:sz w:val="21"/>
      <w:szCs w:val="21"/>
    </w:rPr>
  </w:style>
  <w:style w:type="paragraph" w:customStyle="1" w:styleId="37">
    <w:name w:val="样式 (中文) 仿宋_GB2312 四号 行距: 固定值 28 磅"/>
    <w:basedOn w:val="1"/>
    <w:qFormat/>
    <w:uiPriority w:val="0"/>
    <w:pPr>
      <w:spacing w:line="560" w:lineRule="exact"/>
    </w:pPr>
    <w:rPr>
      <w:rFonts w:cs="宋体"/>
      <w:sz w:val="28"/>
      <w:szCs w:val="20"/>
    </w:rPr>
  </w:style>
  <w:style w:type="paragraph" w:customStyle="1" w:styleId="38">
    <w:name w:val="样式 标题 2 + (中文) 宋体 段前: 1 行 段后: 1 行"/>
    <w:basedOn w:val="4"/>
    <w:uiPriority w:val="0"/>
    <w:pPr>
      <w:spacing w:line="360" w:lineRule="auto"/>
    </w:pPr>
    <w:rPr>
      <w:rFonts w:eastAsia="宋体" w:cs="宋体"/>
      <w:szCs w:val="20"/>
    </w:rPr>
  </w:style>
  <w:style w:type="paragraph" w:customStyle="1" w:styleId="39">
    <w:name w:val="表文 Char"/>
    <w:basedOn w:val="1"/>
    <w:qFormat/>
    <w:uiPriority w:val="0"/>
    <w:pPr>
      <w:overflowPunct w:val="0"/>
      <w:jc w:val="center"/>
      <w:textAlignment w:val="baseline"/>
    </w:pPr>
    <w:rPr>
      <w:rFonts w:eastAsia="宋体"/>
      <w:szCs w:val="20"/>
    </w:rPr>
  </w:style>
  <w:style w:type="paragraph" w:customStyle="1" w:styleId="40">
    <w:name w:val="首行缩进11 Char"/>
    <w:basedOn w:val="1"/>
    <w:qFormat/>
    <w:uiPriority w:val="0"/>
    <w:rPr>
      <w:rFonts w:cs="宋体"/>
      <w:kern w:val="0"/>
    </w:rPr>
  </w:style>
  <w:style w:type="paragraph" w:customStyle="1" w:styleId="41">
    <w:name w:val="变更正文"/>
    <w:basedOn w:val="13"/>
    <w:qFormat/>
    <w:uiPriority w:val="0"/>
    <w:pPr>
      <w:adjustRightInd w:val="0"/>
      <w:snapToGrid w:val="0"/>
      <w:spacing w:line="360" w:lineRule="auto"/>
    </w:pPr>
    <w:rPr>
      <w:rFonts w:ascii="Times New Roman" w:eastAsia="仿宋_GB2312"/>
      <w:iCs/>
      <w:sz w:val="24"/>
      <w:szCs w:val="24"/>
    </w:rPr>
  </w:style>
  <w:style w:type="paragraph" w:customStyle="1" w:styleId="42">
    <w:name w:val="索引 11"/>
    <w:basedOn w:val="1"/>
    <w:next w:val="1"/>
    <w:qFormat/>
    <w:uiPriority w:val="0"/>
    <w:pPr>
      <w:spacing w:line="240" w:lineRule="auto"/>
      <w:ind w:firstLine="0" w:firstLineChars="0"/>
    </w:pPr>
    <w:rPr>
      <w:sz w:val="21"/>
      <w:szCs w:val="20"/>
    </w:rPr>
  </w:style>
  <w:style w:type="paragraph" w:customStyle="1" w:styleId="43">
    <w:name w:val="首行缩进2"/>
    <w:basedOn w:val="1"/>
    <w:qFormat/>
    <w:uiPriority w:val="0"/>
    <w:rPr>
      <w:sz w:val="28"/>
      <w:szCs w:val="20"/>
    </w:rPr>
  </w:style>
  <w:style w:type="paragraph" w:customStyle="1" w:styleId="44">
    <w:name w:val="11111111111"/>
    <w:basedOn w:val="1"/>
    <w:qFormat/>
    <w:uiPriority w:val="0"/>
    <w:pPr>
      <w:spacing w:line="500" w:lineRule="exact"/>
      <w:ind w:firstLine="225" w:firstLineChars="225"/>
    </w:pPr>
  </w:style>
  <w:style w:type="paragraph" w:customStyle="1" w:styleId="45">
    <w:name w:val="正文缩进1"/>
    <w:basedOn w:val="1"/>
    <w:qFormat/>
    <w:uiPriority w:val="0"/>
    <w:rPr>
      <w:color w:val="000000"/>
      <w:kern w:val="0"/>
      <w:szCs w:val="20"/>
    </w:rPr>
  </w:style>
  <w:style w:type="paragraph" w:customStyle="1" w:styleId="46">
    <w:name w:val="样式 正文29 + 首行缩进:  2 字符"/>
    <w:basedOn w:val="1"/>
    <w:uiPriority w:val="0"/>
    <w:pPr>
      <w:overflowPunct w:val="0"/>
      <w:topLinePunct/>
      <w:snapToGrid w:val="0"/>
    </w:pPr>
    <w:rPr>
      <w:rFonts w:ascii="宋体" w:hAnsi="宋体" w:cs="宋体"/>
      <w:bCs/>
      <w:color w:val="000000"/>
      <w:kern w:val="0"/>
      <w:sz w:val="18"/>
      <w:szCs w:val="18"/>
    </w:rPr>
  </w:style>
  <w:style w:type="paragraph" w:customStyle="1" w:styleId="47">
    <w:name w:val="文本"/>
    <w:basedOn w:val="1"/>
    <w:qFormat/>
    <w:uiPriority w:val="0"/>
    <w:pPr>
      <w:autoSpaceDE w:val="0"/>
      <w:autoSpaceDN w:val="0"/>
      <w:adjustRightInd w:val="0"/>
      <w:spacing w:line="520" w:lineRule="exact"/>
    </w:pPr>
    <w:rPr>
      <w:rFonts w:eastAsia="宋体"/>
      <w:sz w:val="28"/>
    </w:rPr>
  </w:style>
  <w:style w:type="paragraph" w:customStyle="1" w:styleId="48">
    <w:name w:val="xl24"/>
    <w:basedOn w:val="1"/>
    <w:qFormat/>
    <w:uiPriority w:val="0"/>
    <w:pPr>
      <w:widowControl/>
      <w:spacing w:before="100" w:after="100"/>
      <w:jc w:val="center"/>
      <w:textAlignment w:val="center"/>
    </w:pPr>
    <w:rPr>
      <w:rFonts w:ascii="宋体" w:hAnsi="宋体"/>
      <w:kern w:val="0"/>
      <w:szCs w:val="20"/>
    </w:rPr>
  </w:style>
  <w:style w:type="paragraph" w:customStyle="1" w:styleId="49">
    <w:name w:val="正文15"/>
    <w:basedOn w:val="1"/>
    <w:qFormat/>
    <w:uiPriority w:val="0"/>
    <w:pPr>
      <w:overflowPunct w:val="0"/>
      <w:topLinePunct/>
      <w:adjustRightInd w:val="0"/>
      <w:snapToGrid w:val="0"/>
      <w:spacing w:line="240" w:lineRule="auto"/>
      <w:ind w:firstLine="0" w:firstLineChars="0"/>
    </w:pPr>
    <w:rPr>
      <w:rFonts w:eastAsia="仿宋_GB2312"/>
    </w:rPr>
  </w:style>
  <w:style w:type="paragraph" w:customStyle="1" w:styleId="50">
    <w:name w:val="监测报告29f"/>
    <w:basedOn w:val="1"/>
    <w:next w:val="1"/>
    <w:qFormat/>
    <w:uiPriority w:val="0"/>
    <w:pPr>
      <w:overflowPunct w:val="0"/>
      <w:topLinePunct/>
      <w:snapToGrid w:val="0"/>
      <w:spacing w:line="580" w:lineRule="exact"/>
    </w:pPr>
    <w:rPr>
      <w:rFonts w:ascii="Calibri" w:hAnsi="Calibri"/>
    </w:rPr>
  </w:style>
  <w:style w:type="paragraph" w:customStyle="1" w:styleId="51">
    <w:name w:val="表格监测内容"/>
    <w:qFormat/>
    <w:uiPriority w:val="0"/>
    <w:pPr>
      <w:jc w:val="center"/>
    </w:pPr>
    <w:rPr>
      <w:rFonts w:ascii="Times New Roman" w:hAnsi="Times New Roman" w:eastAsia="仿宋_GB2312" w:cs="Times New Roman"/>
      <w:kern w:val="2"/>
      <w:sz w:val="24"/>
      <w:szCs w:val="28"/>
      <w:lang w:val="en-US" w:eastAsia="zh-CN" w:bidi="ar-SA"/>
    </w:rPr>
  </w:style>
  <w:style w:type="paragraph" w:customStyle="1" w:styleId="52">
    <w:name w:val="正文宋 + 首行缩进:  2 字符 + 首行缩进:  2 字符"/>
    <w:basedOn w:val="1"/>
    <w:qFormat/>
    <w:uiPriority w:val="0"/>
    <w:rPr>
      <w:rFonts w:ascii="宋体" w:hAnsi="宋体"/>
      <w:sz w:val="28"/>
      <w:szCs w:val="20"/>
    </w:rPr>
  </w:style>
  <w:style w:type="paragraph" w:customStyle="1" w:styleId="53">
    <w:name w:val="表格文字"/>
    <w:basedOn w:val="1"/>
    <w:next w:val="1"/>
    <w:qFormat/>
    <w:uiPriority w:val="0"/>
    <w:pPr>
      <w:spacing w:line="240" w:lineRule="auto"/>
      <w:ind w:firstLine="0" w:firstLineChars="0"/>
      <w:jc w:val="center"/>
    </w:pPr>
    <w:rPr>
      <w:sz w:val="21"/>
    </w:rPr>
  </w:style>
  <w:style w:type="paragraph" w:customStyle="1" w:styleId="54">
    <w:name w:val="表图抬头"/>
    <w:qFormat/>
    <w:uiPriority w:val="0"/>
    <w:pPr>
      <w:spacing w:before="50" w:beforeLines="50"/>
      <w:jc w:val="center"/>
    </w:pPr>
    <w:rPr>
      <w:rFonts w:ascii="Times New Roman" w:hAnsi="Times New Roman" w:eastAsia="仿宋_GB2312" w:cs="Times New Roman"/>
      <w:b/>
      <w:color w:val="000000"/>
      <w:kern w:val="2"/>
      <w:sz w:val="24"/>
      <w:szCs w:val="24"/>
      <w:lang w:val="en-US" w:eastAsia="zh-CN" w:bidi="ar-SA"/>
    </w:rPr>
  </w:style>
  <w:style w:type="paragraph" w:customStyle="1" w:styleId="55">
    <w:name w:val="列出段落1"/>
    <w:basedOn w:val="1"/>
    <w:qFormat/>
    <w:uiPriority w:val="0"/>
    <w:rPr>
      <w:rFonts w:ascii="Calibri" w:hAnsi="Calibri"/>
      <w:szCs w:val="22"/>
    </w:rPr>
  </w:style>
  <w:style w:type="paragraph" w:customStyle="1" w:styleId="56">
    <w:name w:val="Char Char Char Char Char Char"/>
    <w:basedOn w:val="1"/>
    <w:qFormat/>
    <w:uiPriority w:val="0"/>
  </w:style>
  <w:style w:type="paragraph" w:customStyle="1" w:styleId="57">
    <w:name w:val="Table Paragraph"/>
    <w:basedOn w:val="1"/>
    <w:qFormat/>
    <w:uiPriority w:val="0"/>
  </w:style>
  <w:style w:type="paragraph" w:customStyle="1" w:styleId="58">
    <w:name w:val="Char Char Char Char Char Char Char Char Char Char Char Char Char Char Char2 Char Char Char Char Char Char1 Char"/>
    <w:basedOn w:val="1"/>
    <w:qFormat/>
    <w:uiPriority w:val="0"/>
    <w:rPr>
      <w:rFonts w:ascii="宋体" w:hAnsi="宋体" w:cs="宋体"/>
    </w:rPr>
  </w:style>
  <w:style w:type="paragraph" w:customStyle="1" w:styleId="59">
    <w:name w:val="样式 标题 3 + (中文) 宋体 行距: 1.5 倍行距"/>
    <w:basedOn w:val="5"/>
    <w:qFormat/>
    <w:uiPriority w:val="0"/>
    <w:pPr>
      <w:spacing w:line="360" w:lineRule="auto"/>
    </w:pPr>
    <w:rPr>
      <w:rFonts w:eastAsia="宋体" w:cs="宋体"/>
      <w:kern w:val="44"/>
      <w:szCs w:val="20"/>
    </w:rPr>
  </w:style>
  <w:style w:type="paragraph" w:customStyle="1" w:styleId="60">
    <w:name w:val="规正文"/>
    <w:basedOn w:val="1"/>
    <w:qFormat/>
    <w:uiPriority w:val="0"/>
    <w:rPr>
      <w:rFonts w:eastAsia="宋体"/>
      <w:sz w:val="28"/>
      <w:szCs w:val="28"/>
    </w:rPr>
  </w:style>
  <w:style w:type="paragraph" w:customStyle="1" w:styleId="61">
    <w:name w:val="正文29f"/>
    <w:basedOn w:val="1"/>
    <w:qFormat/>
    <w:uiPriority w:val="0"/>
    <w:pPr>
      <w:overflowPunct w:val="0"/>
      <w:topLinePunct/>
      <w:snapToGrid w:val="0"/>
      <w:spacing w:line="580" w:lineRule="exact"/>
    </w:pPr>
  </w:style>
  <w:style w:type="paragraph" w:customStyle="1" w:styleId="62">
    <w:name w:val="本文正文"/>
    <w:basedOn w:val="1"/>
    <w:qFormat/>
    <w:uiPriority w:val="0"/>
    <w:pPr>
      <w:tabs>
        <w:tab w:val="left" w:pos="4500"/>
      </w:tabs>
    </w:pPr>
    <w:rPr>
      <w:szCs w:val="44"/>
    </w:rPr>
  </w:style>
  <w:style w:type="paragraph" w:customStyle="1" w:styleId="63">
    <w:name w:val="Char"/>
    <w:basedOn w:val="1"/>
    <w:qFormat/>
    <w:uiPriority w:val="0"/>
  </w:style>
  <w:style w:type="paragraph" w:customStyle="1" w:styleId="64">
    <w:name w:val="样式 正文1 + 首行缩进:  2 字符"/>
    <w:basedOn w:val="9"/>
    <w:qFormat/>
    <w:uiPriority w:val="0"/>
    <w:pPr>
      <w:spacing w:line="480" w:lineRule="exact"/>
    </w:pPr>
    <w:rPr>
      <w:rFonts w:ascii="宋体" w:eastAsia="宋体" w:cs="宋体"/>
      <w:sz w:val="24"/>
      <w:szCs w:val="24"/>
    </w:rPr>
  </w:style>
  <w:style w:type="paragraph" w:customStyle="1" w:styleId="65">
    <w:name w:val="表格内容"/>
    <w:qFormat/>
    <w:uiPriority w:val="0"/>
    <w:pPr>
      <w:adjustRightInd w:val="0"/>
    </w:pPr>
    <w:rPr>
      <w:rFonts w:ascii="Times New Roman" w:hAnsi="Times New Roman" w:eastAsia="宋体" w:cs="Times New Roman"/>
      <w:kern w:val="2"/>
      <w:sz w:val="24"/>
      <w:szCs w:val="28"/>
      <w:lang w:val="en-US" w:eastAsia="zh-CN" w:bidi="ar-SA"/>
    </w:rPr>
  </w:style>
  <w:style w:type="paragraph" w:customStyle="1" w:styleId="66">
    <w:name w:val="表格内容new"/>
    <w:basedOn w:val="65"/>
    <w:qFormat/>
    <w:uiPriority w:val="0"/>
  </w:style>
  <w:style w:type="paragraph" w:customStyle="1" w:styleId="67">
    <w:name w:val="表格字体"/>
    <w:basedOn w:val="1"/>
    <w:qFormat/>
    <w:uiPriority w:val="0"/>
    <w:pPr>
      <w:spacing w:line="240" w:lineRule="auto"/>
      <w:ind w:firstLine="0" w:firstLineChars="0"/>
      <w:jc w:val="left"/>
    </w:pPr>
    <w:rPr>
      <w:rFonts w:ascii="仿宋"/>
      <w:spacing w:val="2"/>
      <w:sz w:val="18"/>
      <w:szCs w:val="20"/>
    </w:rPr>
  </w:style>
  <w:style w:type="paragraph" w:customStyle="1" w:styleId="68">
    <w:name w:val="Char Char Char Char Char Char1 Char"/>
    <w:basedOn w:val="1"/>
    <w:qFormat/>
    <w:uiPriority w:val="0"/>
    <w:rPr>
      <w:rFonts w:ascii="宋体" w:hAnsi="宋体" w:cs="宋体"/>
    </w:rPr>
  </w:style>
  <w:style w:type="paragraph" w:customStyle="1" w:styleId="69">
    <w:name w:val="纯文本1"/>
    <w:basedOn w:val="1"/>
    <w:qFormat/>
    <w:uiPriority w:val="0"/>
    <w:pPr>
      <w:adjustRightInd w:val="0"/>
    </w:pPr>
    <w:rPr>
      <w:rFonts w:ascii="宋体" w:hAnsi="Courier New" w:eastAsia="宋体"/>
    </w:rPr>
  </w:style>
  <w:style w:type="paragraph" w:customStyle="1" w:styleId="70">
    <w:name w:val="8"/>
    <w:basedOn w:val="1"/>
    <w:qFormat/>
    <w:uiPriority w:val="0"/>
    <w:pPr>
      <w:ind w:firstLine="480"/>
    </w:pPr>
    <w:rPr>
      <w:kern w:val="10"/>
    </w:rPr>
  </w:style>
  <w:style w:type="paragraph" w:customStyle="1" w:styleId="71">
    <w:name w:val="列出段落11"/>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2.jpeg"/><Relationship Id="rId5" Type="http://schemas.openxmlformats.org/officeDocument/2006/relationships/header" Target="header3.xml"/><Relationship Id="rId49" Type="http://schemas.openxmlformats.org/officeDocument/2006/relationships/image" Target="media/image31.jpeg"/><Relationship Id="rId48" Type="http://schemas.openxmlformats.org/officeDocument/2006/relationships/image" Target="media/image30.jpeg"/><Relationship Id="rId47" Type="http://schemas.openxmlformats.org/officeDocument/2006/relationships/image" Target="media/image29.jpeg"/><Relationship Id="rId46" Type="http://schemas.openxmlformats.org/officeDocument/2006/relationships/image" Target="media/image28.jpeg"/><Relationship Id="rId45" Type="http://schemas.openxmlformats.org/officeDocument/2006/relationships/image" Target="media/image27.jpeg"/><Relationship Id="rId44" Type="http://schemas.openxmlformats.org/officeDocument/2006/relationships/image" Target="media/image26.jpeg"/><Relationship Id="rId43" Type="http://schemas.openxmlformats.org/officeDocument/2006/relationships/image" Target="media/image25.jpeg"/><Relationship Id="rId42" Type="http://schemas.openxmlformats.org/officeDocument/2006/relationships/image" Target="media/image24.jpeg"/><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header" Target="header2.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png"/><Relationship Id="rId26" Type="http://schemas.openxmlformats.org/officeDocument/2006/relationships/image" Target="media/image8.jpe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a:gradFill/>
      </a:bgFillStyleLst>
    </a:fmtScheme>
  </a:themeElements>
  <a:objectDefaults>
    <a:spDef>
      <a:spPr>
        <a:solidFill>
          <a:srgbClr val="FFFFFF"/>
        </a:solidFill>
        <a:ln w="9525" cap="flat" cmpd="sng">
          <a:noFill/>
          <a:prstDash val="solid"/>
          <a:miter/>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noFill/>
        </a:ln>
      </a:spPr>
      <a:bodyPr/>
      <a:lstStyle/>
      <a:style>
        <a:lnRef idx="1">
          <a:schemeClr val="accent4">
            <a:shade val="50000"/>
          </a:schemeClr>
        </a:lnRef>
        <a:fillRef idx="0">
          <a:schemeClr val="accent4"/>
        </a:fillRef>
        <a:effectRef idx="0">
          <a:schemeClr val="accent4"/>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6211</Words>
  <Characters>35407</Characters>
  <Lines>295</Lines>
  <Paragraphs>83</Paragraphs>
  <TotalTime>1</TotalTime>
  <ScaleCrop>false</ScaleCrop>
  <LinksUpToDate>false</LinksUpToDate>
  <CharactersWithSpaces>41535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2021-03-04T06:54:00Z</dcterms:created>
  <dc:creator>Love China</dc:creator>
  <cp:lastModifiedBy>DZ</cp:lastModifiedBy>
  <cp:lastPrinted>2020-07-14T02:08:00Z</cp:lastPrinted>
  <dcterms:modified xsi:type="dcterms:W3CDTF">2021-03-08T09:19:10Z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